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E2AB1" w14:textId="77777777" w:rsidR="009E7DC7" w:rsidRPr="009E7DC7" w:rsidRDefault="009E7DC7" w:rsidP="009E7DC7">
      <w:pPr>
        <w:tabs>
          <w:tab w:val="left" w:pos="7650"/>
        </w:tabs>
        <w:suppressAutoHyphens/>
        <w:spacing w:line="240" w:lineRule="atLeast"/>
        <w:contextualSpacing/>
        <w:outlineLvl w:val="0"/>
        <w:rPr>
          <w:rFonts w:ascii="Georgia" w:eastAsia="Times New Roman" w:hAnsi="Georgia" w:cs="Arial"/>
          <w:bCs/>
          <w:color w:val="04617B"/>
          <w:spacing w:val="5"/>
          <w:sz w:val="52"/>
          <w:szCs w:val="52"/>
        </w:rPr>
      </w:pPr>
      <w:bookmarkStart w:id="0" w:name="_GoBack"/>
      <w:bookmarkEnd w:id="0"/>
      <w:r w:rsidRPr="009E7DC7">
        <w:rPr>
          <w:rFonts w:ascii="Georgia" w:eastAsia="Times New Roman" w:hAnsi="Georgia" w:cs="Arial"/>
          <w:bCs/>
          <w:color w:val="04617B"/>
          <w:spacing w:val="5"/>
          <w:sz w:val="52"/>
          <w:szCs w:val="52"/>
        </w:rPr>
        <w:t>Exploration Menu</w:t>
      </w:r>
    </w:p>
    <w:p w14:paraId="5EFE45AF" w14:textId="42C4FEE1" w:rsidR="009E7DC7" w:rsidRPr="009E7DC7" w:rsidRDefault="009E7DC7" w:rsidP="00A548D6">
      <w:pPr>
        <w:pStyle w:val="Heading1"/>
        <w:spacing w:before="240" w:after="120"/>
        <w:rPr>
          <w:rFonts w:eastAsia="Times New Roman"/>
        </w:rPr>
      </w:pPr>
      <w:bookmarkStart w:id="1" w:name="_Toc465090400"/>
      <w:bookmarkStart w:id="2" w:name="_Toc476063782"/>
      <w:r w:rsidRPr="009E7DC7">
        <w:rPr>
          <w:rFonts w:eastAsia="Times New Roman"/>
        </w:rPr>
        <w:t>Introduction</w:t>
      </w:r>
    </w:p>
    <w:p w14:paraId="21C473CC" w14:textId="65E9039F" w:rsidR="009E7DC7" w:rsidRPr="009E7DC7" w:rsidRDefault="009E7DC7" w:rsidP="00A548D6">
      <w:pPr>
        <w:suppressAutoHyphens/>
        <w:spacing w:before="120" w:after="120" w:line="240" w:lineRule="atLeast"/>
        <w:rPr>
          <w:rFonts w:ascii="Arial" w:eastAsia="Calibri" w:hAnsi="Arial" w:cs="Arial"/>
          <w:color w:val="auto"/>
          <w:szCs w:val="22"/>
        </w:rPr>
      </w:pPr>
      <w:r w:rsidRPr="009E7DC7">
        <w:rPr>
          <w:rFonts w:ascii="Arial" w:eastAsia="Calibri" w:hAnsi="Arial" w:cs="Arial"/>
          <w:color w:val="auto"/>
          <w:szCs w:val="22"/>
        </w:rPr>
        <w:t>In all of the reports, there are a number of functions which can change how the reports look. This can be useful when building a story or to help make analysing data easier. These changes can be applied to any visualisation in Qlik including graphs, charts and tables.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eps and Actions"/>
        <w:tblDescription w:val="The first column is the step numbers.  The second column are the actions to be taken "/>
      </w:tblPr>
      <w:tblGrid>
        <w:gridCol w:w="709"/>
        <w:gridCol w:w="9781"/>
      </w:tblGrid>
      <w:tr w:rsidR="002340AD" w14:paraId="3CB4B7A9" w14:textId="77777777" w:rsidTr="00D00635">
        <w:trPr>
          <w:cantSplit/>
          <w:trHeight w:val="452"/>
          <w:tblHeader/>
        </w:trPr>
        <w:tc>
          <w:tcPr>
            <w:tcW w:w="709" w:type="dxa"/>
            <w:shd w:val="clear" w:color="auto" w:fill="C0C0C0"/>
          </w:tcPr>
          <w:bookmarkEnd w:id="1"/>
          <w:bookmarkEnd w:id="2"/>
          <w:p w14:paraId="3CB4B7A7" w14:textId="77777777" w:rsidR="002340AD" w:rsidRPr="005C206B" w:rsidRDefault="002340AD" w:rsidP="00D2031A">
            <w:pPr>
              <w:pStyle w:val="tabletext0"/>
              <w:rPr>
                <w:b/>
              </w:rPr>
            </w:pPr>
            <w:r>
              <w:rPr>
                <w:b/>
              </w:rPr>
              <w:t>Step</w:t>
            </w:r>
          </w:p>
        </w:tc>
        <w:tc>
          <w:tcPr>
            <w:tcW w:w="9781" w:type="dxa"/>
            <w:shd w:val="clear" w:color="auto" w:fill="C0C0C0"/>
          </w:tcPr>
          <w:p w14:paraId="3CB4B7A8" w14:textId="77777777" w:rsidR="002340AD" w:rsidRPr="005C206B" w:rsidRDefault="002340AD" w:rsidP="00D2031A">
            <w:pPr>
              <w:pStyle w:val="tabletext0"/>
              <w:rPr>
                <w:b/>
              </w:rPr>
            </w:pPr>
            <w:r>
              <w:rPr>
                <w:b/>
              </w:rPr>
              <w:t>Action</w:t>
            </w:r>
          </w:p>
        </w:tc>
      </w:tr>
      <w:tr w:rsidR="00D00635" w14:paraId="3CB4B7AD" w14:textId="77777777" w:rsidTr="00D00635">
        <w:trPr>
          <w:cantSplit/>
          <w:trHeight w:val="858"/>
        </w:trPr>
        <w:tc>
          <w:tcPr>
            <w:tcW w:w="709" w:type="dxa"/>
          </w:tcPr>
          <w:p w14:paraId="3CB4B7AA" w14:textId="77777777" w:rsidR="00D00635" w:rsidRPr="00D56CBD" w:rsidRDefault="00D00635" w:rsidP="002340AD">
            <w:pPr>
              <w:pStyle w:val="tabletext0"/>
              <w:numPr>
                <w:ilvl w:val="0"/>
                <w:numId w:val="7"/>
              </w:numPr>
              <w:jc w:val="center"/>
              <w:rPr>
                <w:b/>
              </w:rPr>
            </w:pPr>
          </w:p>
        </w:tc>
        <w:tc>
          <w:tcPr>
            <w:tcW w:w="9781" w:type="dxa"/>
            <w:shd w:val="clear" w:color="auto" w:fill="auto"/>
          </w:tcPr>
          <w:p w14:paraId="5A13590D" w14:textId="77777777" w:rsidR="009E7DC7" w:rsidRPr="0059453B" w:rsidRDefault="009E7DC7" w:rsidP="00C45D98">
            <w:pPr>
              <w:pStyle w:val="Heading2Numbered"/>
              <w:numPr>
                <w:ilvl w:val="0"/>
                <w:numId w:val="0"/>
              </w:numPr>
              <w:spacing w:after="120"/>
              <w:ind w:left="567" w:hanging="567"/>
              <w:rPr>
                <w:rFonts w:ascii="Arial" w:hAnsi="Arial" w:cs="Arial"/>
                <w:sz w:val="28"/>
                <w:szCs w:val="28"/>
              </w:rPr>
            </w:pPr>
            <w:r w:rsidRPr="0059453B">
              <w:rPr>
                <w:rFonts w:ascii="Arial" w:hAnsi="Arial" w:cs="Arial"/>
                <w:sz w:val="28"/>
                <w:szCs w:val="28"/>
              </w:rPr>
              <w:t>Opening Exploration options</w:t>
            </w:r>
          </w:p>
          <w:p w14:paraId="334C37F7" w14:textId="2E4B88CA" w:rsidR="009E7DC7" w:rsidRPr="0059453B" w:rsidRDefault="009E7DC7" w:rsidP="00C45D98">
            <w:pPr>
              <w:spacing w:after="120"/>
              <w:rPr>
                <w:rFonts w:ascii="Arial" w:hAnsi="Arial" w:cs="Arial"/>
              </w:rPr>
            </w:pPr>
            <w:r w:rsidRPr="0059453B">
              <w:rPr>
                <w:rFonts w:ascii="Arial" w:hAnsi="Arial" w:cs="Arial"/>
              </w:rPr>
              <w:t>Right click on the visualisation that you want to change. A number of options will appear.</w:t>
            </w:r>
          </w:p>
          <w:p w14:paraId="0E0BDC52" w14:textId="77777777" w:rsidR="009E7DC7" w:rsidRPr="0059453B" w:rsidRDefault="009E7DC7" w:rsidP="00C45D98">
            <w:pPr>
              <w:spacing w:after="120"/>
              <w:rPr>
                <w:rFonts w:ascii="Arial" w:hAnsi="Arial" w:cs="Arial"/>
              </w:rPr>
            </w:pPr>
            <w:r w:rsidRPr="0059453B">
              <w:rPr>
                <w:rFonts w:ascii="Arial" w:hAnsi="Arial" w:cs="Arial"/>
              </w:rPr>
              <w:t>The appearance of a visuali</w:t>
            </w:r>
            <w:r>
              <w:rPr>
                <w:rFonts w:ascii="Arial" w:hAnsi="Arial" w:cs="Arial"/>
              </w:rPr>
              <w:t>s</w:t>
            </w:r>
            <w:r w:rsidRPr="0059453B">
              <w:rPr>
                <w:rFonts w:ascii="Arial" w:hAnsi="Arial" w:cs="Arial"/>
              </w:rPr>
              <w:t>ation can be edited to improve design and enhance understanding. Open the Exploration screen from the visualisation you want to change.</w:t>
            </w:r>
          </w:p>
          <w:p w14:paraId="23F00C4C" w14:textId="14B4100B" w:rsidR="00CA6185" w:rsidRPr="00E017AA" w:rsidRDefault="009E7DC7" w:rsidP="007E1AF4">
            <w:pPr>
              <w:pStyle w:val="tabletext0"/>
              <w:spacing w:beforeLines="60" w:before="144"/>
            </w:pPr>
            <w:r>
              <w:rPr>
                <w:noProof/>
                <w:lang w:eastAsia="en-AU"/>
              </w:rPr>
              <w:drawing>
                <wp:inline distT="0" distB="0" distL="0" distR="0" wp14:anchorId="5AD830AA" wp14:editId="2879736C">
                  <wp:extent cx="6011511" cy="2561756"/>
                  <wp:effectExtent l="19050" t="19050" r="27940" b="10160"/>
                  <wp:docPr id="6" name="Picture 6" descr="A circular menu displaying visualisation options for the selected report. " title="image for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8745" cy="2564839"/>
                          </a:xfrm>
                          <a:prstGeom prst="rect">
                            <a:avLst/>
                          </a:prstGeom>
                          <a:ln w="19050">
                            <a:solidFill>
                              <a:schemeClr val="accent1"/>
                            </a:solidFill>
                          </a:ln>
                        </pic:spPr>
                      </pic:pic>
                    </a:graphicData>
                  </a:graphic>
                </wp:inline>
              </w:drawing>
            </w:r>
          </w:p>
        </w:tc>
      </w:tr>
      <w:tr w:rsidR="00D00635" w14:paraId="3CB4B7B4" w14:textId="77777777" w:rsidTr="00D00635">
        <w:trPr>
          <w:cantSplit/>
          <w:trHeight w:val="858"/>
        </w:trPr>
        <w:tc>
          <w:tcPr>
            <w:tcW w:w="709" w:type="dxa"/>
          </w:tcPr>
          <w:p w14:paraId="3CB4B7AE" w14:textId="77777777" w:rsidR="00D00635" w:rsidRPr="00D56CBD" w:rsidRDefault="00D00635" w:rsidP="002340AD">
            <w:pPr>
              <w:pStyle w:val="tabletext0"/>
              <w:numPr>
                <w:ilvl w:val="0"/>
                <w:numId w:val="7"/>
              </w:numPr>
              <w:jc w:val="center"/>
              <w:rPr>
                <w:b/>
              </w:rPr>
            </w:pPr>
          </w:p>
        </w:tc>
        <w:tc>
          <w:tcPr>
            <w:tcW w:w="9781" w:type="dxa"/>
            <w:shd w:val="clear" w:color="auto" w:fill="auto"/>
          </w:tcPr>
          <w:p w14:paraId="41D9343E" w14:textId="3A7DA758" w:rsidR="009E7DC7" w:rsidRDefault="009E7DC7" w:rsidP="00C45D98">
            <w:pPr>
              <w:spacing w:after="120"/>
              <w:rPr>
                <w:rFonts w:ascii="Arial" w:hAnsi="Arial" w:cs="Arial"/>
              </w:rPr>
            </w:pPr>
            <w:r w:rsidRPr="0059453B">
              <w:rPr>
                <w:rFonts w:ascii="Arial" w:hAnsi="Arial" w:cs="Arial"/>
              </w:rPr>
              <w:t xml:space="preserve">The </w:t>
            </w:r>
            <w:r>
              <w:rPr>
                <w:rFonts w:ascii="Arial" w:hAnsi="Arial" w:cs="Arial"/>
              </w:rPr>
              <w:t>visualisation</w:t>
            </w:r>
            <w:r w:rsidRPr="0059453B">
              <w:rPr>
                <w:rFonts w:ascii="Arial" w:hAnsi="Arial" w:cs="Arial"/>
              </w:rPr>
              <w:t xml:space="preserve"> will expand and a menu will appear on the right side of the screen. At the top</w:t>
            </w:r>
            <w:r>
              <w:rPr>
                <w:rFonts w:ascii="Arial" w:hAnsi="Arial" w:cs="Arial"/>
              </w:rPr>
              <w:t>,</w:t>
            </w:r>
            <w:r w:rsidRPr="0059453B">
              <w:rPr>
                <w:rFonts w:ascii="Arial" w:hAnsi="Arial" w:cs="Arial"/>
              </w:rPr>
              <w:t xml:space="preserve"> the data fields that relate to this visualisation will be listed (outlined in red).</w:t>
            </w:r>
            <w:r>
              <w:rPr>
                <w:rFonts w:ascii="Arial" w:hAnsi="Arial" w:cs="Arial"/>
              </w:rPr>
              <w:t xml:space="preserve"> </w:t>
            </w:r>
          </w:p>
          <w:p w14:paraId="404D827E" w14:textId="38C684DF" w:rsidR="009E7DC7" w:rsidRPr="0059453B" w:rsidRDefault="009E7DC7" w:rsidP="00C45D98">
            <w:pPr>
              <w:spacing w:after="120"/>
              <w:rPr>
                <w:rFonts w:ascii="Arial" w:hAnsi="Arial" w:cs="Arial"/>
              </w:rPr>
            </w:pPr>
            <w:r w:rsidRPr="0059453B">
              <w:rPr>
                <w:rFonts w:ascii="Arial" w:hAnsi="Arial" w:cs="Arial"/>
              </w:rPr>
              <w:t>At the bottom of the menu are the actions you can perform (outlined in gold)</w:t>
            </w:r>
            <w:r>
              <w:rPr>
                <w:rFonts w:ascii="Arial" w:hAnsi="Arial" w:cs="Arial"/>
              </w:rPr>
              <w:t>.</w:t>
            </w:r>
          </w:p>
          <w:p w14:paraId="616D20BF" w14:textId="77777777" w:rsidR="009E7DC7" w:rsidRPr="0059453B" w:rsidRDefault="009E7DC7" w:rsidP="00C45D98">
            <w:pPr>
              <w:spacing w:after="120"/>
              <w:rPr>
                <w:rFonts w:ascii="Arial" w:hAnsi="Arial" w:cs="Arial"/>
              </w:rPr>
            </w:pPr>
            <w:r w:rsidRPr="0059453B">
              <w:rPr>
                <w:noProof/>
                <w:lang w:eastAsia="en-AU"/>
              </w:rPr>
              <w:drawing>
                <wp:inline distT="0" distB="0" distL="0" distR="0" wp14:anchorId="328E231E" wp14:editId="514F606D">
                  <wp:extent cx="3816627" cy="3069178"/>
                  <wp:effectExtent l="19050" t="19050" r="12700" b="17145"/>
                  <wp:docPr id="1" name="Picture 1" descr="The visualisation menu located on the right side of the screen contains two sections. The top section displays the data fields related to the report and the bottom section displays the actions that can performed to adjust the appearance of the report. " title="image for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6057"/>
                          <a:stretch/>
                        </pic:blipFill>
                        <pic:spPr bwMode="auto">
                          <a:xfrm>
                            <a:off x="0" y="0"/>
                            <a:ext cx="3850394" cy="3096332"/>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754DE35F" w14:textId="59A3DAC5" w:rsidR="009E7DC7" w:rsidRPr="009E7DC7" w:rsidRDefault="009E7DC7" w:rsidP="00C45D98">
            <w:pPr>
              <w:spacing w:after="120" w:line="276" w:lineRule="auto"/>
              <w:rPr>
                <w:rFonts w:ascii="Arial" w:hAnsi="Arial" w:cs="Arial"/>
              </w:rPr>
            </w:pPr>
            <w:r w:rsidRPr="0059453B">
              <w:rPr>
                <w:rFonts w:ascii="Arial" w:hAnsi="Arial" w:cs="Arial"/>
              </w:rPr>
              <w:t>These options provide a number of ways to adjust the appearance of the visuali</w:t>
            </w:r>
            <w:r>
              <w:rPr>
                <w:rFonts w:ascii="Arial" w:hAnsi="Arial" w:cs="Arial"/>
              </w:rPr>
              <w:t>s</w:t>
            </w:r>
            <w:r w:rsidRPr="0059453B">
              <w:rPr>
                <w:rFonts w:ascii="Arial" w:hAnsi="Arial" w:cs="Arial"/>
              </w:rPr>
              <w:t>ations.</w:t>
            </w:r>
          </w:p>
        </w:tc>
      </w:tr>
      <w:tr w:rsidR="006B460C" w14:paraId="67EED9BB" w14:textId="77777777" w:rsidTr="00D00635">
        <w:trPr>
          <w:cantSplit/>
          <w:trHeight w:val="858"/>
        </w:trPr>
        <w:tc>
          <w:tcPr>
            <w:tcW w:w="709" w:type="dxa"/>
          </w:tcPr>
          <w:p w14:paraId="6776F6C6" w14:textId="77777777" w:rsidR="006B460C" w:rsidRPr="00D56CBD" w:rsidRDefault="006B460C" w:rsidP="002340AD">
            <w:pPr>
              <w:pStyle w:val="tabletext0"/>
              <w:numPr>
                <w:ilvl w:val="0"/>
                <w:numId w:val="7"/>
              </w:numPr>
              <w:jc w:val="center"/>
              <w:rPr>
                <w:b/>
              </w:rPr>
            </w:pPr>
          </w:p>
        </w:tc>
        <w:tc>
          <w:tcPr>
            <w:tcW w:w="9781" w:type="dxa"/>
            <w:shd w:val="clear" w:color="auto" w:fill="auto"/>
          </w:tcPr>
          <w:p w14:paraId="0197FD02" w14:textId="77777777" w:rsidR="009E7DC7" w:rsidRPr="0059453B" w:rsidRDefault="009E7DC7" w:rsidP="009E7DC7">
            <w:pPr>
              <w:rPr>
                <w:rFonts w:ascii="Arial" w:hAnsi="Arial" w:cs="Arial"/>
              </w:rPr>
            </w:pPr>
            <w:r w:rsidRPr="0059453B">
              <w:rPr>
                <w:rFonts w:ascii="Arial" w:hAnsi="Arial" w:cs="Arial"/>
                <w:b/>
              </w:rPr>
              <w:t>Sorting</w:t>
            </w:r>
            <w:r w:rsidRPr="0059453B">
              <w:rPr>
                <w:rFonts w:ascii="Arial" w:hAnsi="Arial" w:cs="Arial"/>
              </w:rPr>
              <w:t xml:space="preserve">: Allows you to sort the data in different ways.  </w:t>
            </w:r>
          </w:p>
          <w:p w14:paraId="3ED1DAF7" w14:textId="3083A00D" w:rsidR="009E7DC7" w:rsidRDefault="009E7DC7" w:rsidP="009E7DC7">
            <w:pPr>
              <w:rPr>
                <w:rFonts w:ascii="Arial" w:hAnsi="Arial" w:cs="Arial"/>
              </w:rPr>
            </w:pPr>
            <w:r w:rsidRPr="0059453B">
              <w:rPr>
                <w:rFonts w:ascii="Arial" w:hAnsi="Arial" w:cs="Arial"/>
              </w:rPr>
              <w:t>Select the field/s that you want to move and drag up or down. This will change the visualisation to the new order.</w:t>
            </w:r>
          </w:p>
          <w:p w14:paraId="13CA1A23" w14:textId="3B9B18A4" w:rsidR="009E7DC7" w:rsidRPr="009E7DC7" w:rsidRDefault="009E7DC7" w:rsidP="009E7DC7">
            <w:pPr>
              <w:pStyle w:val="Caption"/>
              <w:spacing w:before="0" w:after="0" w:line="240" w:lineRule="auto"/>
              <w:rPr>
                <w:rFonts w:asciiTheme="minorHAnsi" w:hAnsiTheme="minorHAnsi" w:cstheme="minorHAnsi"/>
                <w:b w:val="0"/>
                <w:sz w:val="18"/>
              </w:rPr>
            </w:pPr>
          </w:p>
          <w:p w14:paraId="2211C5DC" w14:textId="180F5ED9" w:rsidR="00A548D6" w:rsidRDefault="009E7DC7" w:rsidP="00AD3CC4">
            <w:pPr>
              <w:rPr>
                <w:lang w:eastAsia="en-AU"/>
              </w:rPr>
            </w:pPr>
            <w:r w:rsidRPr="0059453B">
              <w:rPr>
                <w:noProof/>
                <w:lang w:eastAsia="en-AU"/>
              </w:rPr>
              <w:drawing>
                <wp:inline distT="0" distB="0" distL="0" distR="0" wp14:anchorId="4367AF4E" wp14:editId="52DFFA72">
                  <wp:extent cx="2647128" cy="2799715"/>
                  <wp:effectExtent l="19050" t="19050" r="20320" b="19685"/>
                  <wp:docPr id="27" name="Picture 27" descr="The first option the bottom menu displays. " title="image fo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405"/>
                          <a:stretch/>
                        </pic:blipFill>
                        <pic:spPr bwMode="auto">
                          <a:xfrm>
                            <a:off x="0" y="0"/>
                            <a:ext cx="2647397" cy="2800000"/>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7E6F1EDD" w14:textId="77777777" w:rsidR="00A548D6" w:rsidRPr="00A548D6" w:rsidRDefault="00A548D6" w:rsidP="00A548D6">
            <w:pPr>
              <w:rPr>
                <w:lang w:eastAsia="en-AU"/>
              </w:rPr>
            </w:pPr>
          </w:p>
          <w:p w14:paraId="051D7120" w14:textId="77777777" w:rsidR="00A548D6" w:rsidRPr="00A548D6" w:rsidRDefault="00A548D6" w:rsidP="00A548D6">
            <w:pPr>
              <w:rPr>
                <w:lang w:eastAsia="en-AU"/>
              </w:rPr>
            </w:pPr>
          </w:p>
          <w:p w14:paraId="17F33D14" w14:textId="77777777" w:rsidR="00A548D6" w:rsidRPr="00A548D6" w:rsidRDefault="00A548D6" w:rsidP="00A548D6">
            <w:pPr>
              <w:rPr>
                <w:lang w:eastAsia="en-AU"/>
              </w:rPr>
            </w:pPr>
          </w:p>
          <w:p w14:paraId="2ACB287F" w14:textId="77777777" w:rsidR="00A548D6" w:rsidRPr="00A548D6" w:rsidRDefault="00A548D6" w:rsidP="00A548D6">
            <w:pPr>
              <w:rPr>
                <w:lang w:eastAsia="en-AU"/>
              </w:rPr>
            </w:pPr>
          </w:p>
          <w:p w14:paraId="1D7FA148" w14:textId="77777777" w:rsidR="00A548D6" w:rsidRPr="00A548D6" w:rsidRDefault="00A548D6" w:rsidP="00A548D6">
            <w:pPr>
              <w:rPr>
                <w:lang w:eastAsia="en-AU"/>
              </w:rPr>
            </w:pPr>
          </w:p>
          <w:p w14:paraId="20B66DBF" w14:textId="4EDD5E83" w:rsidR="006F3704" w:rsidRPr="00A548D6" w:rsidRDefault="006F3704" w:rsidP="00A548D6">
            <w:pPr>
              <w:rPr>
                <w:lang w:eastAsia="en-AU"/>
              </w:rPr>
            </w:pPr>
          </w:p>
        </w:tc>
      </w:tr>
      <w:tr w:rsidR="000D30DA" w14:paraId="351C13F2" w14:textId="77777777" w:rsidTr="00D00635">
        <w:trPr>
          <w:cantSplit/>
          <w:trHeight w:val="858"/>
        </w:trPr>
        <w:tc>
          <w:tcPr>
            <w:tcW w:w="709" w:type="dxa"/>
          </w:tcPr>
          <w:p w14:paraId="1D275423" w14:textId="77777777" w:rsidR="000D30DA" w:rsidRPr="00D56CBD" w:rsidRDefault="000D30DA" w:rsidP="002340AD">
            <w:pPr>
              <w:pStyle w:val="tabletext0"/>
              <w:numPr>
                <w:ilvl w:val="0"/>
                <w:numId w:val="7"/>
              </w:numPr>
              <w:jc w:val="center"/>
              <w:rPr>
                <w:b/>
              </w:rPr>
            </w:pPr>
          </w:p>
        </w:tc>
        <w:tc>
          <w:tcPr>
            <w:tcW w:w="9781" w:type="dxa"/>
            <w:shd w:val="clear" w:color="auto" w:fill="auto"/>
          </w:tcPr>
          <w:p w14:paraId="67F8EC0B" w14:textId="7725A14F" w:rsidR="009E7DC7" w:rsidRDefault="009E7DC7" w:rsidP="00C45D98">
            <w:pPr>
              <w:spacing w:after="120"/>
              <w:rPr>
                <w:rFonts w:ascii="Arial" w:hAnsi="Arial" w:cs="Arial"/>
              </w:rPr>
            </w:pPr>
            <w:r w:rsidRPr="0059453B">
              <w:rPr>
                <w:rFonts w:ascii="Arial" w:hAnsi="Arial" w:cs="Arial"/>
                <w:b/>
              </w:rPr>
              <w:t>Presentation</w:t>
            </w:r>
            <w:r w:rsidRPr="0059453B">
              <w:rPr>
                <w:rFonts w:ascii="Arial" w:hAnsi="Arial" w:cs="Arial"/>
              </w:rPr>
              <w:t>: Different visuali</w:t>
            </w:r>
            <w:r>
              <w:rPr>
                <w:rFonts w:ascii="Arial" w:hAnsi="Arial" w:cs="Arial"/>
              </w:rPr>
              <w:t>s</w:t>
            </w:r>
            <w:r w:rsidRPr="0059453B">
              <w:rPr>
                <w:rFonts w:ascii="Arial" w:hAnsi="Arial" w:cs="Arial"/>
              </w:rPr>
              <w:t xml:space="preserve">ations have different options that can be adjusted to enhance the display of data. </w:t>
            </w:r>
          </w:p>
          <w:p w14:paraId="53845981" w14:textId="20C80FDC" w:rsidR="009E7DC7" w:rsidRDefault="009E7DC7" w:rsidP="00C45D98">
            <w:pPr>
              <w:spacing w:after="120"/>
              <w:rPr>
                <w:rFonts w:ascii="Arial" w:hAnsi="Arial" w:cs="Arial"/>
              </w:rPr>
            </w:pPr>
            <w:r w:rsidRPr="0059453B">
              <w:rPr>
                <w:rFonts w:ascii="Arial" w:hAnsi="Arial" w:cs="Arial"/>
              </w:rPr>
              <w:t>For example, you can set bars in a bar chart to display as grouped or stacked, as well as vertically or horizontally.</w:t>
            </w:r>
          </w:p>
          <w:p w14:paraId="08D38182" w14:textId="6EBDDE98" w:rsidR="000D30DA" w:rsidRDefault="009E7DC7" w:rsidP="00C45D98">
            <w:pPr>
              <w:spacing w:after="120"/>
              <w:rPr>
                <w:noProof/>
                <w:lang w:eastAsia="en-AU"/>
              </w:rPr>
            </w:pPr>
            <w:r w:rsidRPr="0059453B">
              <w:rPr>
                <w:noProof/>
                <w:lang w:eastAsia="en-AU"/>
              </w:rPr>
              <w:drawing>
                <wp:inline distT="0" distB="0" distL="0" distR="0" wp14:anchorId="39EFA713" wp14:editId="26ED3ACE">
                  <wp:extent cx="2646000" cy="2315248"/>
                  <wp:effectExtent l="19050" t="19050" r="21590" b="27940"/>
                  <wp:docPr id="18" name="Picture 18" descr="The second option the bottom menu displays." title="image for 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6000" cy="2315248"/>
                          </a:xfrm>
                          <a:prstGeom prst="rect">
                            <a:avLst/>
                          </a:prstGeom>
                          <a:ln w="19050">
                            <a:solidFill>
                              <a:schemeClr val="accent1"/>
                            </a:solidFill>
                          </a:ln>
                        </pic:spPr>
                      </pic:pic>
                    </a:graphicData>
                  </a:graphic>
                </wp:inline>
              </w:drawing>
            </w:r>
          </w:p>
        </w:tc>
      </w:tr>
      <w:tr w:rsidR="006F3704" w14:paraId="025B78AA" w14:textId="77777777" w:rsidTr="00D00635">
        <w:trPr>
          <w:cantSplit/>
          <w:trHeight w:val="858"/>
        </w:trPr>
        <w:tc>
          <w:tcPr>
            <w:tcW w:w="709" w:type="dxa"/>
          </w:tcPr>
          <w:p w14:paraId="6C0C5CE1" w14:textId="77777777" w:rsidR="006F3704" w:rsidRPr="00D56CBD" w:rsidRDefault="006F3704" w:rsidP="002340AD">
            <w:pPr>
              <w:pStyle w:val="tabletext0"/>
              <w:numPr>
                <w:ilvl w:val="0"/>
                <w:numId w:val="7"/>
              </w:numPr>
              <w:jc w:val="center"/>
              <w:rPr>
                <w:b/>
              </w:rPr>
            </w:pPr>
          </w:p>
        </w:tc>
        <w:tc>
          <w:tcPr>
            <w:tcW w:w="9781" w:type="dxa"/>
            <w:shd w:val="clear" w:color="auto" w:fill="auto"/>
          </w:tcPr>
          <w:p w14:paraId="0B34ABA4" w14:textId="126B925F" w:rsidR="009E7DC7" w:rsidRDefault="009E7DC7" w:rsidP="00C45D98">
            <w:pPr>
              <w:spacing w:after="120"/>
              <w:rPr>
                <w:rFonts w:ascii="Arial" w:hAnsi="Arial" w:cs="Arial"/>
              </w:rPr>
            </w:pPr>
            <w:r w:rsidRPr="0059453B">
              <w:rPr>
                <w:rFonts w:ascii="Arial" w:hAnsi="Arial" w:cs="Arial"/>
                <w:b/>
              </w:rPr>
              <w:t>Colours and legend</w:t>
            </w:r>
            <w:r w:rsidRPr="0059453B">
              <w:rPr>
                <w:rFonts w:ascii="Arial" w:hAnsi="Arial" w:cs="Arial"/>
              </w:rPr>
              <w:t>: Colouring is one of the best ways to highlight values in your visuali</w:t>
            </w:r>
            <w:r>
              <w:rPr>
                <w:rFonts w:ascii="Arial" w:hAnsi="Arial" w:cs="Arial"/>
              </w:rPr>
              <w:t>s</w:t>
            </w:r>
            <w:r w:rsidRPr="0059453B">
              <w:rPr>
                <w:rFonts w:ascii="Arial" w:hAnsi="Arial" w:cs="Arial"/>
              </w:rPr>
              <w:t xml:space="preserve">ations. Qlik Sense provides a range of different colouring options. </w:t>
            </w:r>
          </w:p>
          <w:p w14:paraId="3154194D" w14:textId="6303DBBF" w:rsidR="006F3704" w:rsidRDefault="009E7DC7" w:rsidP="004E1EB0">
            <w:pPr>
              <w:spacing w:after="120"/>
            </w:pPr>
            <w:r w:rsidRPr="0059453B">
              <w:rPr>
                <w:noProof/>
                <w:lang w:eastAsia="en-AU"/>
              </w:rPr>
              <w:drawing>
                <wp:inline distT="0" distB="0" distL="0" distR="0" wp14:anchorId="206B1203" wp14:editId="6F3D4D8C">
                  <wp:extent cx="2533650" cy="2706192"/>
                  <wp:effectExtent l="19050" t="19050" r="19050" b="18415"/>
                  <wp:docPr id="29" name="Picture 29" descr="The third option the bottom menu displays." title="image for Step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0859" cy="2713892"/>
                          </a:xfrm>
                          <a:prstGeom prst="rect">
                            <a:avLst/>
                          </a:prstGeom>
                          <a:ln w="19050">
                            <a:solidFill>
                              <a:schemeClr val="accent1"/>
                            </a:solidFill>
                          </a:ln>
                        </pic:spPr>
                      </pic:pic>
                    </a:graphicData>
                  </a:graphic>
                </wp:inline>
              </w:drawing>
            </w:r>
            <w:r w:rsidRPr="0059453B">
              <w:rPr>
                <w:noProof/>
                <w:lang w:eastAsia="en-AU"/>
              </w:rPr>
              <w:t xml:space="preserve"> </w:t>
            </w:r>
          </w:p>
        </w:tc>
      </w:tr>
      <w:tr w:rsidR="0068246A" w14:paraId="7792F416" w14:textId="77777777" w:rsidTr="00D00635">
        <w:trPr>
          <w:cantSplit/>
          <w:trHeight w:val="858"/>
        </w:trPr>
        <w:tc>
          <w:tcPr>
            <w:tcW w:w="709" w:type="dxa"/>
          </w:tcPr>
          <w:p w14:paraId="639E3650" w14:textId="77777777" w:rsidR="0068246A" w:rsidRPr="00D56CBD" w:rsidRDefault="0068246A" w:rsidP="002340AD">
            <w:pPr>
              <w:pStyle w:val="tabletext0"/>
              <w:numPr>
                <w:ilvl w:val="0"/>
                <w:numId w:val="7"/>
              </w:numPr>
              <w:jc w:val="center"/>
              <w:rPr>
                <w:b/>
              </w:rPr>
            </w:pPr>
          </w:p>
        </w:tc>
        <w:tc>
          <w:tcPr>
            <w:tcW w:w="9781" w:type="dxa"/>
            <w:shd w:val="clear" w:color="auto" w:fill="auto"/>
          </w:tcPr>
          <w:p w14:paraId="3B0D064A" w14:textId="67BD73F7" w:rsidR="009E7DC7" w:rsidRDefault="009E7DC7" w:rsidP="00C45D98">
            <w:pPr>
              <w:spacing w:after="120"/>
              <w:rPr>
                <w:rFonts w:ascii="Arial" w:hAnsi="Arial" w:cs="Arial"/>
              </w:rPr>
            </w:pPr>
            <w:r w:rsidRPr="0059453B">
              <w:rPr>
                <w:rFonts w:ascii="Arial" w:hAnsi="Arial" w:cs="Arial"/>
              </w:rPr>
              <w:t xml:space="preserve">For example, if you select the “By measure” option, a variety of colour options are available. </w:t>
            </w:r>
          </w:p>
          <w:p w14:paraId="76D47D59" w14:textId="19545174" w:rsidR="009E7DC7" w:rsidRDefault="009E7DC7" w:rsidP="00C45D98">
            <w:pPr>
              <w:spacing w:after="120"/>
              <w:rPr>
                <w:noProof/>
                <w:lang w:eastAsia="en-AU"/>
              </w:rPr>
            </w:pPr>
            <w:r w:rsidRPr="0059453B">
              <w:rPr>
                <w:noProof/>
                <w:lang w:eastAsia="en-AU"/>
              </w:rPr>
              <w:drawing>
                <wp:inline distT="0" distB="0" distL="0" distR="0" wp14:anchorId="4B428BC7" wp14:editId="7F69EAD3">
                  <wp:extent cx="2166015" cy="2295525"/>
                  <wp:effectExtent l="19050" t="19050" r="24765" b="9525"/>
                  <wp:docPr id="15" name="Picture 15" descr="The colours legend displays four options, auto, single colour, multicoloured and by measure." title="image for 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7925" cy="2308147"/>
                          </a:xfrm>
                          <a:prstGeom prst="rect">
                            <a:avLst/>
                          </a:prstGeom>
                          <a:ln w="19050">
                            <a:solidFill>
                              <a:schemeClr val="accent1"/>
                            </a:solidFill>
                          </a:ln>
                        </pic:spPr>
                      </pic:pic>
                    </a:graphicData>
                  </a:graphic>
                </wp:inline>
              </w:drawing>
            </w:r>
          </w:p>
          <w:p w14:paraId="479699B1" w14:textId="0AAAE89D" w:rsidR="0068246A" w:rsidRPr="0068246A" w:rsidRDefault="009E7DC7" w:rsidP="00C45D98">
            <w:pPr>
              <w:spacing w:after="120" w:line="276" w:lineRule="auto"/>
              <w:rPr>
                <w:noProof/>
                <w:lang w:eastAsia="en-AU"/>
              </w:rPr>
            </w:pPr>
            <w:r w:rsidRPr="0059453B">
              <w:rPr>
                <w:rFonts w:ascii="Arial" w:hAnsi="Arial" w:cs="Arial"/>
              </w:rPr>
              <w:t>In the example below, we have changed the presentation style to “Grouped” and the Colours and Legend to “Multi-coloured”</w:t>
            </w:r>
            <w:r>
              <w:rPr>
                <w:rFonts w:ascii="Arial" w:hAnsi="Arial" w:cs="Arial"/>
              </w:rPr>
              <w:t xml:space="preserve">. </w:t>
            </w:r>
          </w:p>
        </w:tc>
      </w:tr>
      <w:tr w:rsidR="009E7DC7" w14:paraId="745B0480" w14:textId="77777777" w:rsidTr="00D00635">
        <w:trPr>
          <w:cantSplit/>
          <w:trHeight w:val="858"/>
        </w:trPr>
        <w:tc>
          <w:tcPr>
            <w:tcW w:w="709" w:type="dxa"/>
          </w:tcPr>
          <w:p w14:paraId="136997BE" w14:textId="77777777" w:rsidR="009E7DC7" w:rsidRPr="00D56CBD" w:rsidRDefault="009E7DC7" w:rsidP="002340AD">
            <w:pPr>
              <w:pStyle w:val="tabletext0"/>
              <w:numPr>
                <w:ilvl w:val="0"/>
                <w:numId w:val="7"/>
              </w:numPr>
              <w:jc w:val="center"/>
              <w:rPr>
                <w:b/>
              </w:rPr>
            </w:pPr>
          </w:p>
        </w:tc>
        <w:tc>
          <w:tcPr>
            <w:tcW w:w="9781" w:type="dxa"/>
            <w:shd w:val="clear" w:color="auto" w:fill="auto"/>
          </w:tcPr>
          <w:p w14:paraId="54EF1DE7" w14:textId="179A565E" w:rsidR="009E7DC7" w:rsidRPr="004E1EB0" w:rsidRDefault="009E7DC7" w:rsidP="00C45D98">
            <w:pPr>
              <w:spacing w:after="120"/>
              <w:rPr>
                <w:rFonts w:ascii="Arial" w:hAnsi="Arial" w:cs="Arial"/>
              </w:rPr>
            </w:pPr>
            <w:r w:rsidRPr="0059453B">
              <w:rPr>
                <w:rFonts w:ascii="Arial" w:hAnsi="Arial" w:cs="Arial"/>
              </w:rPr>
              <w:t xml:space="preserve">To return to the main report sheet, select the small X in the top right corner of the visualisation. To return to the original layout, select the Discard button in the bottom </w:t>
            </w:r>
            <w:r w:rsidR="004E1EB0">
              <w:rPr>
                <w:rFonts w:ascii="Arial" w:hAnsi="Arial" w:cs="Arial"/>
              </w:rPr>
              <w:t>right</w:t>
            </w:r>
            <w:r w:rsidRPr="0059453B">
              <w:rPr>
                <w:rFonts w:ascii="Arial" w:hAnsi="Arial" w:cs="Arial"/>
              </w:rPr>
              <w:t xml:space="preserve"> corner. </w:t>
            </w:r>
            <w:r w:rsidR="004E1EB0">
              <w:rPr>
                <w:noProof/>
                <w:lang w:eastAsia="en-AU"/>
              </w:rPr>
              <w:t xml:space="preserve"> </w:t>
            </w:r>
            <w:r w:rsidR="004E1EB0">
              <w:rPr>
                <w:noProof/>
                <w:lang w:eastAsia="en-AU"/>
              </w:rPr>
              <w:drawing>
                <wp:inline distT="0" distB="0" distL="0" distR="0" wp14:anchorId="206765F8" wp14:editId="1C0101A1">
                  <wp:extent cx="6073775" cy="2764790"/>
                  <wp:effectExtent l="0" t="0" r="3175" b="0"/>
                  <wp:docPr id="7" name="Picture 7" descr="Location of small X and discard button, on the bottom right and top right corner of the screen respectively. " title="image for 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73775" cy="2764790"/>
                          </a:xfrm>
                          <a:prstGeom prst="rect">
                            <a:avLst/>
                          </a:prstGeom>
                        </pic:spPr>
                      </pic:pic>
                    </a:graphicData>
                  </a:graphic>
                </wp:inline>
              </w:drawing>
            </w:r>
          </w:p>
        </w:tc>
      </w:tr>
      <w:tr w:rsidR="009E7DC7" w14:paraId="2CD02E15" w14:textId="77777777" w:rsidTr="00D00635">
        <w:trPr>
          <w:cantSplit/>
          <w:trHeight w:val="858"/>
        </w:trPr>
        <w:tc>
          <w:tcPr>
            <w:tcW w:w="709" w:type="dxa"/>
          </w:tcPr>
          <w:p w14:paraId="45603802" w14:textId="77777777" w:rsidR="009E7DC7" w:rsidRPr="00D56CBD" w:rsidRDefault="009E7DC7" w:rsidP="002340AD">
            <w:pPr>
              <w:pStyle w:val="tabletext0"/>
              <w:numPr>
                <w:ilvl w:val="0"/>
                <w:numId w:val="7"/>
              </w:numPr>
              <w:jc w:val="center"/>
              <w:rPr>
                <w:b/>
              </w:rPr>
            </w:pPr>
          </w:p>
        </w:tc>
        <w:tc>
          <w:tcPr>
            <w:tcW w:w="9781" w:type="dxa"/>
            <w:shd w:val="clear" w:color="auto" w:fill="auto"/>
          </w:tcPr>
          <w:p w14:paraId="1751810B" w14:textId="55D027D7" w:rsidR="009E7DC7" w:rsidRPr="009E7DC7" w:rsidRDefault="009E7DC7" w:rsidP="009E7DC7">
            <w:pPr>
              <w:pStyle w:val="Heading2Numbered"/>
              <w:numPr>
                <w:ilvl w:val="0"/>
                <w:numId w:val="0"/>
              </w:numPr>
              <w:spacing w:after="0"/>
              <w:rPr>
                <w:rFonts w:asciiTheme="minorHAnsi" w:eastAsiaTheme="minorHAnsi" w:hAnsiTheme="minorHAnsi" w:cstheme="minorBidi"/>
                <w:b w:val="0"/>
                <w:bCs w:val="0"/>
                <w:sz w:val="20"/>
                <w:szCs w:val="22"/>
              </w:rPr>
            </w:pPr>
            <w:r w:rsidRPr="0059453B">
              <w:rPr>
                <w:rFonts w:ascii="Arial" w:hAnsi="Arial" w:cs="Arial"/>
                <w:sz w:val="22"/>
              </w:rPr>
              <w:t xml:space="preserve">Note: Any changes made will only apply to the current session. Once you leave the report, the default settings will be applied next time you return to the report. </w:t>
            </w:r>
          </w:p>
        </w:tc>
      </w:tr>
    </w:tbl>
    <w:p w14:paraId="258873EC" w14:textId="77777777" w:rsidR="009E7DC7" w:rsidRPr="0059453B" w:rsidRDefault="009E7DC7" w:rsidP="009E7DC7">
      <w:pPr>
        <w:pStyle w:val="Heading2Numbered"/>
        <w:numPr>
          <w:ilvl w:val="0"/>
          <w:numId w:val="0"/>
        </w:numPr>
        <w:spacing w:after="0"/>
        <w:rPr>
          <w:rFonts w:ascii="Arial" w:hAnsi="Arial" w:cs="Arial"/>
          <w:sz w:val="28"/>
          <w:szCs w:val="28"/>
        </w:rPr>
      </w:pPr>
      <w:bookmarkStart w:id="3" w:name="_Attachment_A"/>
      <w:bookmarkEnd w:id="3"/>
      <w:r w:rsidRPr="0059453B">
        <w:rPr>
          <w:rFonts w:ascii="Arial" w:hAnsi="Arial" w:cs="Arial"/>
          <w:sz w:val="28"/>
          <w:szCs w:val="28"/>
        </w:rPr>
        <w:t>Supported browsers</w:t>
      </w:r>
    </w:p>
    <w:p w14:paraId="7ED3E58B" w14:textId="031306A0" w:rsidR="009E7DC7" w:rsidRDefault="009E7DC7" w:rsidP="009E7DC7">
      <w:pPr>
        <w:rPr>
          <w:rFonts w:ascii="Arial" w:hAnsi="Arial" w:cs="Arial"/>
        </w:rPr>
      </w:pPr>
      <w:r w:rsidRPr="0059453B">
        <w:rPr>
          <w:rFonts w:ascii="Arial" w:hAnsi="Arial" w:cs="Arial"/>
        </w:rPr>
        <w:t>In order to access the Data Exchange reports your computer needs to meet certain requirements. Select this link to view the list of</w:t>
      </w:r>
      <w:r w:rsidRPr="00A548D6">
        <w:rPr>
          <w:rFonts w:ascii="Arial" w:hAnsi="Arial" w:cs="Arial"/>
        </w:rPr>
        <w:t xml:space="preserve"> </w:t>
      </w:r>
      <w:hyperlink r:id="rId16" w:history="1">
        <w:r w:rsidRPr="00A548D6">
          <w:rPr>
            <w:rStyle w:val="Hyperlink"/>
            <w:rFonts w:ascii="Arial" w:hAnsi="Arial" w:cs="Arial"/>
            <w:color w:val="04617B"/>
          </w:rPr>
          <w:t>supported browsers</w:t>
        </w:r>
      </w:hyperlink>
      <w:r w:rsidRPr="0059453B">
        <w:rPr>
          <w:rFonts w:ascii="Arial" w:hAnsi="Arial" w:cs="Arial"/>
        </w:rPr>
        <w:t>.</w:t>
      </w:r>
    </w:p>
    <w:p w14:paraId="0BF1E665" w14:textId="77777777" w:rsidR="00C9008B" w:rsidRDefault="00C9008B" w:rsidP="009E7DC7">
      <w:pPr>
        <w:rPr>
          <w:rFonts w:ascii="Arial" w:hAnsi="Arial" w:cs="Arial"/>
        </w:rPr>
      </w:pPr>
    </w:p>
    <w:p w14:paraId="00B822FE" w14:textId="77777777" w:rsidR="00A548D6" w:rsidRDefault="00A548D6" w:rsidP="00A548D6">
      <w:pPr>
        <w:shd w:val="clear" w:color="auto" w:fill="AFE2E2" w:themeFill="accent4" w:themeFillShade="E6"/>
        <w:spacing w:before="120" w:line="288" w:lineRule="auto"/>
        <w:jc w:val="center"/>
      </w:pPr>
    </w:p>
    <w:p w14:paraId="332328D7" w14:textId="77777777" w:rsidR="00A548D6" w:rsidRDefault="00A548D6" w:rsidP="00A548D6">
      <w:pPr>
        <w:shd w:val="clear" w:color="auto" w:fill="AFE2E2" w:themeFill="accent4" w:themeFillShade="E6"/>
        <w:spacing w:after="120" w:line="276" w:lineRule="auto"/>
        <w:jc w:val="center"/>
      </w:pPr>
      <w:r>
        <w:t xml:space="preserve">You can find more information on reporting requirements in the </w:t>
      </w:r>
      <w:hyperlink r:id="rId17" w:history="1">
        <w:r>
          <w:rPr>
            <w:rStyle w:val="Hyperlink"/>
            <w:color w:val="04617B"/>
          </w:rPr>
          <w:t>Data Exchange Protocols</w:t>
        </w:r>
      </w:hyperlink>
      <w:r>
        <w:rPr>
          <w:color w:val="005568"/>
        </w:rPr>
        <w:t>.</w:t>
      </w:r>
      <w:r>
        <w:t xml:space="preserve"> For further information on reports functionality, please visit the </w:t>
      </w:r>
      <w:hyperlink r:id="rId18" w:history="1">
        <w:r>
          <w:rPr>
            <w:rStyle w:val="Hyperlink"/>
            <w:color w:val="04617B"/>
          </w:rPr>
          <w:t>Training</w:t>
        </w:r>
      </w:hyperlink>
      <w:r>
        <w:t xml:space="preserve"> tab of the Data Exchange website.</w:t>
      </w:r>
    </w:p>
    <w:p w14:paraId="031244E6" w14:textId="6E88890C" w:rsidR="00E017AA" w:rsidRPr="00E017AA" w:rsidRDefault="00A548D6" w:rsidP="00A548D6">
      <w:pPr>
        <w:shd w:val="clear" w:color="auto" w:fill="AFE2E2" w:themeFill="accent4" w:themeFillShade="E6"/>
        <w:spacing w:after="120" w:line="276" w:lineRule="auto"/>
        <w:jc w:val="center"/>
        <w:rPr>
          <w:rFonts w:ascii="Arial" w:hAnsi="Arial" w:cs="Arial"/>
        </w:rPr>
      </w:pPr>
      <w:r>
        <w:t xml:space="preserve">For </w:t>
      </w:r>
      <w:r w:rsidRPr="00046116">
        <w:t>system</w:t>
      </w:r>
      <w:r>
        <w:t xml:space="preserve"> support, contact the Data Exchange Helpdesk by email at </w:t>
      </w:r>
      <w:hyperlink r:id="rId19" w:history="1">
        <w:r>
          <w:rPr>
            <w:rStyle w:val="Hyperlink"/>
            <w:color w:val="04617B"/>
          </w:rPr>
          <w:t>dssdataexchange.helpdesk@dss.gov.au</w:t>
        </w:r>
      </w:hyperlink>
      <w:r>
        <w:t xml:space="preserve"> or on 1800 020 283.</w:t>
      </w:r>
    </w:p>
    <w:sectPr w:rsidR="00E017AA" w:rsidRPr="00E017AA" w:rsidSect="00E017AA">
      <w:footerReference w:type="default" r:id="rId20"/>
      <w:headerReference w:type="first" r:id="rId21"/>
      <w:footerReference w:type="first" r:id="rId22"/>
      <w:pgSz w:w="11906" w:h="16838" w:code="9"/>
      <w:pgMar w:top="1702" w:right="566" w:bottom="709"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D0B27" w14:textId="77777777" w:rsidR="004F0D4A" w:rsidRDefault="004F0D4A" w:rsidP="00772718">
      <w:pPr>
        <w:spacing w:line="240" w:lineRule="auto"/>
      </w:pPr>
      <w:r>
        <w:separator/>
      </w:r>
    </w:p>
  </w:endnote>
  <w:endnote w:type="continuationSeparator" w:id="0">
    <w:p w14:paraId="494B23C9" w14:textId="77777777" w:rsidR="004F0D4A" w:rsidRDefault="004F0D4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543"/>
      <w:gridCol w:w="1060"/>
    </w:tblGrid>
    <w:tr w:rsidR="00FF15A5" w14:paraId="300F5402" w14:textId="77777777" w:rsidTr="009E7DC7">
      <w:tc>
        <w:tcPr>
          <w:tcW w:w="4500" w:type="pct"/>
          <w:tcBorders>
            <w:top w:val="single" w:sz="4" w:space="0" w:color="000000"/>
          </w:tcBorders>
        </w:tcPr>
        <w:p w14:paraId="4A5E5128" w14:textId="40340BCE" w:rsidR="00FF15A5" w:rsidRPr="003F020A" w:rsidRDefault="007C5171" w:rsidP="00A548D6">
          <w:pPr>
            <w:pStyle w:val="Footer"/>
            <w:rPr>
              <w:b w:val="0"/>
            </w:rPr>
          </w:pPr>
          <w:r w:rsidRPr="00CB50E6">
            <w:rPr>
              <w:rFonts w:ascii="Arial" w:hAnsi="Arial" w:cs="Arial"/>
              <w:b w:val="0"/>
              <w:sz w:val="18"/>
              <w:szCs w:val="18"/>
            </w:rPr>
            <w:t xml:space="preserve">Task card – </w:t>
          </w:r>
          <w:r>
            <w:rPr>
              <w:rFonts w:ascii="Arial" w:hAnsi="Arial" w:cs="Arial"/>
              <w:b w:val="0"/>
              <w:sz w:val="18"/>
              <w:szCs w:val="18"/>
            </w:rPr>
            <w:t>Exploration Menu</w:t>
          </w:r>
          <w:r w:rsidRPr="00CB50E6">
            <w:rPr>
              <w:rFonts w:ascii="Arial" w:hAnsi="Arial" w:cs="Arial"/>
              <w:b w:val="0"/>
              <w:sz w:val="18"/>
              <w:szCs w:val="18"/>
            </w:rPr>
            <w:t xml:space="preserve"> – </w:t>
          </w:r>
          <w:r w:rsidR="00A548D6">
            <w:rPr>
              <w:rFonts w:ascii="Arial" w:hAnsi="Arial" w:cs="Arial"/>
              <w:b w:val="0"/>
              <w:sz w:val="18"/>
              <w:szCs w:val="18"/>
            </w:rPr>
            <w:t>April 2023</w:t>
          </w:r>
        </w:p>
      </w:tc>
      <w:tc>
        <w:tcPr>
          <w:tcW w:w="500" w:type="pct"/>
          <w:tcBorders>
            <w:top w:val="single" w:sz="4" w:space="0" w:color="04617B"/>
          </w:tcBorders>
          <w:shd w:val="clear" w:color="auto" w:fill="03485B"/>
        </w:tcPr>
        <w:p w14:paraId="1F5C394F" w14:textId="18E2CD30" w:rsidR="00FF15A5" w:rsidRPr="009E7DC7" w:rsidRDefault="00FF15A5" w:rsidP="00FF15A5">
          <w:pPr>
            <w:pStyle w:val="Header"/>
            <w:jc w:val="right"/>
            <w:rPr>
              <w:rFonts w:ascii="Arial" w:hAnsi="Arial" w:cs="Arial"/>
              <w:color w:val="FFFFFF"/>
              <w:sz w:val="18"/>
              <w:szCs w:val="18"/>
            </w:rPr>
          </w:pPr>
          <w:r w:rsidRPr="009E7DC7">
            <w:rPr>
              <w:rFonts w:ascii="Arial" w:hAnsi="Arial" w:cs="Arial"/>
              <w:color w:val="auto"/>
              <w:sz w:val="18"/>
              <w:szCs w:val="18"/>
            </w:rPr>
            <w:fldChar w:fldCharType="begin"/>
          </w:r>
          <w:r w:rsidRPr="002A15E1">
            <w:rPr>
              <w:rFonts w:ascii="Arial" w:hAnsi="Arial" w:cs="Arial"/>
              <w:sz w:val="18"/>
              <w:szCs w:val="18"/>
            </w:rPr>
            <w:instrText xml:space="preserve"> PAGE   \* MERGEFORMAT </w:instrText>
          </w:r>
          <w:r w:rsidRPr="009E7DC7">
            <w:rPr>
              <w:rFonts w:ascii="Arial" w:hAnsi="Arial" w:cs="Arial"/>
              <w:color w:val="auto"/>
              <w:sz w:val="18"/>
              <w:szCs w:val="18"/>
            </w:rPr>
            <w:fldChar w:fldCharType="separate"/>
          </w:r>
          <w:r w:rsidR="00CB718F" w:rsidRPr="00CB718F">
            <w:rPr>
              <w:rFonts w:ascii="Arial" w:hAnsi="Arial" w:cs="Arial"/>
              <w:noProof/>
              <w:color w:val="FFFFFF"/>
              <w:sz w:val="18"/>
              <w:szCs w:val="18"/>
            </w:rPr>
            <w:t>5</w:t>
          </w:r>
          <w:r w:rsidRPr="009E7DC7">
            <w:rPr>
              <w:rFonts w:ascii="Arial" w:hAnsi="Arial" w:cs="Arial"/>
              <w:noProof/>
              <w:color w:val="FFFFFF"/>
              <w:sz w:val="18"/>
              <w:szCs w:val="18"/>
            </w:rPr>
            <w:fldChar w:fldCharType="end"/>
          </w:r>
        </w:p>
      </w:tc>
    </w:tr>
  </w:tbl>
  <w:p w14:paraId="3CB4B7F2" w14:textId="33ED6CAE" w:rsidR="008327EE" w:rsidRDefault="00832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543"/>
      <w:gridCol w:w="1060"/>
    </w:tblGrid>
    <w:tr w:rsidR="00FF15A5" w14:paraId="3CB7822D" w14:textId="77777777" w:rsidTr="009E7DC7">
      <w:tc>
        <w:tcPr>
          <w:tcW w:w="4500" w:type="pct"/>
          <w:tcBorders>
            <w:top w:val="single" w:sz="4" w:space="0" w:color="000000"/>
          </w:tcBorders>
        </w:tcPr>
        <w:p w14:paraId="07822A8A" w14:textId="10B9418F" w:rsidR="00FF15A5" w:rsidRPr="00CB50E6" w:rsidRDefault="0018081E" w:rsidP="00A548D6">
          <w:pPr>
            <w:pStyle w:val="Footer"/>
            <w:rPr>
              <w:rFonts w:ascii="Arial" w:hAnsi="Arial" w:cs="Arial"/>
              <w:b w:val="0"/>
              <w:sz w:val="18"/>
              <w:szCs w:val="18"/>
            </w:rPr>
          </w:pPr>
          <w:r w:rsidRPr="00CB50E6">
            <w:rPr>
              <w:rFonts w:ascii="Arial" w:hAnsi="Arial" w:cs="Arial"/>
              <w:b w:val="0"/>
              <w:sz w:val="18"/>
              <w:szCs w:val="18"/>
            </w:rPr>
            <w:t xml:space="preserve">Task card – </w:t>
          </w:r>
          <w:r w:rsidR="009E7DC7">
            <w:rPr>
              <w:rFonts w:ascii="Arial" w:hAnsi="Arial" w:cs="Arial"/>
              <w:b w:val="0"/>
              <w:sz w:val="18"/>
              <w:szCs w:val="18"/>
            </w:rPr>
            <w:t>Exploration Menu</w:t>
          </w:r>
          <w:r w:rsidR="00FF15A5" w:rsidRPr="00CB50E6">
            <w:rPr>
              <w:rFonts w:ascii="Arial" w:hAnsi="Arial" w:cs="Arial"/>
              <w:b w:val="0"/>
              <w:sz w:val="18"/>
              <w:szCs w:val="18"/>
            </w:rPr>
            <w:t xml:space="preserve"> – </w:t>
          </w:r>
          <w:r w:rsidR="00A548D6">
            <w:rPr>
              <w:rFonts w:ascii="Arial" w:hAnsi="Arial" w:cs="Arial"/>
              <w:b w:val="0"/>
              <w:sz w:val="18"/>
              <w:szCs w:val="18"/>
            </w:rPr>
            <w:t>April 2023</w:t>
          </w:r>
          <w:r w:rsidR="00AD3CC4">
            <w:rPr>
              <w:rFonts w:ascii="Arial" w:hAnsi="Arial" w:cs="Arial"/>
              <w:b w:val="0"/>
              <w:sz w:val="18"/>
              <w:szCs w:val="18"/>
            </w:rPr>
            <w:t xml:space="preserve"> </w:t>
          </w:r>
        </w:p>
      </w:tc>
      <w:tc>
        <w:tcPr>
          <w:tcW w:w="500" w:type="pct"/>
          <w:tcBorders>
            <w:top w:val="single" w:sz="4" w:space="0" w:color="04617B"/>
          </w:tcBorders>
          <w:shd w:val="clear" w:color="auto" w:fill="03485B"/>
        </w:tcPr>
        <w:p w14:paraId="27A69539" w14:textId="7AB8C05D" w:rsidR="00FF15A5" w:rsidRPr="009E7DC7" w:rsidRDefault="00FF15A5" w:rsidP="00FF15A5">
          <w:pPr>
            <w:pStyle w:val="Header"/>
            <w:jc w:val="right"/>
            <w:rPr>
              <w:rFonts w:ascii="Arial" w:hAnsi="Arial" w:cs="Arial"/>
              <w:color w:val="FFFFFF"/>
              <w:sz w:val="18"/>
              <w:szCs w:val="18"/>
            </w:rPr>
          </w:pPr>
          <w:r w:rsidRPr="009E7DC7">
            <w:rPr>
              <w:rFonts w:ascii="Arial" w:hAnsi="Arial" w:cs="Arial"/>
              <w:color w:val="auto"/>
              <w:sz w:val="18"/>
              <w:szCs w:val="18"/>
            </w:rPr>
            <w:fldChar w:fldCharType="begin"/>
          </w:r>
          <w:r w:rsidRPr="002A15E1">
            <w:rPr>
              <w:rFonts w:ascii="Arial" w:hAnsi="Arial" w:cs="Arial"/>
              <w:sz w:val="18"/>
              <w:szCs w:val="18"/>
            </w:rPr>
            <w:instrText xml:space="preserve"> PAGE   \* MERGEFORMAT </w:instrText>
          </w:r>
          <w:r w:rsidRPr="009E7DC7">
            <w:rPr>
              <w:rFonts w:ascii="Arial" w:hAnsi="Arial" w:cs="Arial"/>
              <w:color w:val="auto"/>
              <w:sz w:val="18"/>
              <w:szCs w:val="18"/>
            </w:rPr>
            <w:fldChar w:fldCharType="separate"/>
          </w:r>
          <w:r w:rsidR="00CB718F" w:rsidRPr="00CB718F">
            <w:rPr>
              <w:rFonts w:ascii="Arial" w:hAnsi="Arial" w:cs="Arial"/>
              <w:noProof/>
              <w:color w:val="FFFFFF"/>
              <w:sz w:val="18"/>
              <w:szCs w:val="18"/>
            </w:rPr>
            <w:t>1</w:t>
          </w:r>
          <w:r w:rsidRPr="009E7DC7">
            <w:rPr>
              <w:rFonts w:ascii="Arial" w:hAnsi="Arial" w:cs="Arial"/>
              <w:noProof/>
              <w:color w:val="FFFFFF"/>
              <w:sz w:val="18"/>
              <w:szCs w:val="18"/>
            </w:rPr>
            <w:fldChar w:fldCharType="end"/>
          </w:r>
        </w:p>
      </w:tc>
    </w:tr>
  </w:tbl>
  <w:p w14:paraId="3CB4B7F3" w14:textId="59A4DB2F" w:rsidR="008327EE" w:rsidRDefault="00832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A5E7" w14:textId="77777777" w:rsidR="004F0D4A" w:rsidRDefault="004F0D4A" w:rsidP="00772718">
      <w:pPr>
        <w:spacing w:line="240" w:lineRule="auto"/>
      </w:pPr>
      <w:r>
        <w:separator/>
      </w:r>
    </w:p>
  </w:footnote>
  <w:footnote w:type="continuationSeparator" w:id="0">
    <w:p w14:paraId="499CDCC6" w14:textId="77777777" w:rsidR="004F0D4A" w:rsidRDefault="004F0D4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28B3" w14:textId="3E6E40C7" w:rsidR="008234CB" w:rsidRPr="004E1EB0" w:rsidRDefault="004E1EB0">
    <w:pPr>
      <w:pStyle w:val="Header"/>
      <w:rPr>
        <w:rFonts w:ascii="Georgia" w:hAnsi="Georgia"/>
        <w:noProof/>
        <w:color w:val="02303D"/>
        <w:lang w:eastAsia="en-AU"/>
      </w:rPr>
    </w:pPr>
    <w:r w:rsidRPr="009E7DC7">
      <w:rPr>
        <w:rFonts w:ascii="Arial" w:hAnsi="Arial" w:cs="Arial"/>
        <w:noProof/>
        <w:color w:val="FFFFFF"/>
        <w:szCs w:val="16"/>
        <w:lang w:eastAsia="en-AU"/>
      </w:rPr>
      <w:drawing>
        <wp:anchor distT="0" distB="0" distL="114300" distR="114300" simplePos="0" relativeHeight="251658240" behindDoc="0" locked="0" layoutInCell="1" allowOverlap="1" wp14:anchorId="1A431FEE" wp14:editId="64B5C6FE">
          <wp:simplePos x="0" y="0"/>
          <wp:positionH relativeFrom="page">
            <wp:align>center</wp:align>
          </wp:positionH>
          <wp:positionV relativeFrom="page">
            <wp:align>top</wp:align>
          </wp:positionV>
          <wp:extent cx="7545705" cy="921385"/>
          <wp:effectExtent l="0" t="0" r="0" b="0"/>
          <wp:wrapSquare wrapText="bothSides"/>
          <wp:docPr id="14" name="Picture 14" descr="This is a screen shot of the Data Exchange header " title="The 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screen shot of the Data Exchange header with the following information:&#10;For technical support; contact the Data Exchange Helpdesk by email dssdataexchange.helpdesk@dss.gov.au or on 1800 020 283." title="The Data Exchange header"/>
                  <pic:cNvPicPr>
                    <a:picLocks noChangeAspect="1"/>
                  </pic:cNvPicPr>
                </pic:nvPicPr>
                <pic:blipFill rotWithShape="1">
                  <a:blip r:embed="rId1" cstate="print">
                    <a:extLst>
                      <a:ext uri="{28A0092B-C50C-407E-A947-70E740481C1C}">
                        <a14:useLocalDpi xmlns:a14="http://schemas.microsoft.com/office/drawing/2010/main" val="0"/>
                      </a:ext>
                    </a:extLst>
                  </a:blip>
                  <a:srcRect t="16028" b="30468"/>
                  <a:stretch/>
                </pic:blipFill>
                <pic:spPr bwMode="auto">
                  <a:xfrm>
                    <a:off x="0" y="0"/>
                    <a:ext cx="7545705"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71F4A"/>
    <w:multiLevelType w:val="hybridMultilevel"/>
    <w:tmpl w:val="28F6B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03B01"/>
    <w:multiLevelType w:val="hybridMultilevel"/>
    <w:tmpl w:val="DEAE4FAA"/>
    <w:lvl w:ilvl="0" w:tplc="F45C34DA">
      <w:start w:val="1"/>
      <w:numFmt w:val="decimal"/>
      <w:lvlText w:val="%1."/>
      <w:lvlJc w:val="left"/>
      <w:pPr>
        <w:ind w:left="502" w:hanging="360"/>
      </w:pPr>
      <w:rPr>
        <w:rFonts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34539F6"/>
    <w:multiLevelType w:val="hybridMultilevel"/>
    <w:tmpl w:val="A9CEE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85682"/>
    <w:multiLevelType w:val="hybridMultilevel"/>
    <w:tmpl w:val="055C1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253B752A"/>
    <w:multiLevelType w:val="hybridMultilevel"/>
    <w:tmpl w:val="21ECC28E"/>
    <w:lvl w:ilvl="0" w:tplc="7B306370">
      <w:numFmt w:val="bullet"/>
      <w:lvlText w:val="-"/>
      <w:lvlJc w:val="left"/>
      <w:pPr>
        <w:ind w:left="502" w:hanging="360"/>
      </w:pPr>
      <w:rPr>
        <w:rFonts w:ascii="Arial" w:eastAsia="Times New Roman" w:hAnsi="Arial" w:cs="Arial" w:hint="default"/>
        <w:b w:val="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B212EA7"/>
    <w:multiLevelType w:val="hybridMultilevel"/>
    <w:tmpl w:val="D93EB1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C3F4CD7"/>
    <w:multiLevelType w:val="hybridMultilevel"/>
    <w:tmpl w:val="9CB0725C"/>
    <w:lvl w:ilvl="0" w:tplc="DB9471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10E3D5A"/>
    <w:multiLevelType w:val="hybridMultilevel"/>
    <w:tmpl w:val="F130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02076F"/>
    <w:multiLevelType w:val="hybridMultilevel"/>
    <w:tmpl w:val="CA66265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56D03256"/>
    <w:multiLevelType w:val="hybridMultilevel"/>
    <w:tmpl w:val="43A8F9EA"/>
    <w:lvl w:ilvl="0" w:tplc="A3C091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6"/>
  </w:num>
  <w:num w:numId="3">
    <w:abstractNumId w:val="4"/>
  </w:num>
  <w:num w:numId="4">
    <w:abstractNumId w:val="11"/>
  </w:num>
  <w:num w:numId="5">
    <w:abstractNumId w:val="10"/>
  </w:num>
  <w:num w:numId="6">
    <w:abstractNumId w:val="1"/>
  </w:num>
  <w:num w:numId="7">
    <w:abstractNumId w:val="15"/>
  </w:num>
  <w:num w:numId="8">
    <w:abstractNumId w:val="5"/>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num>
  <w:num w:numId="14">
    <w:abstractNumId w:val="14"/>
  </w:num>
  <w:num w:numId="15">
    <w:abstractNumId w:val="7"/>
  </w:num>
  <w:num w:numId="16">
    <w:abstractNumId w:val="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AD"/>
    <w:rsid w:val="00000555"/>
    <w:rsid w:val="00000A51"/>
    <w:rsid w:val="00004A79"/>
    <w:rsid w:val="00007DE9"/>
    <w:rsid w:val="00010EA6"/>
    <w:rsid w:val="00015AE4"/>
    <w:rsid w:val="000243C9"/>
    <w:rsid w:val="0003018E"/>
    <w:rsid w:val="00030577"/>
    <w:rsid w:val="00033BC3"/>
    <w:rsid w:val="00044E09"/>
    <w:rsid w:val="00046116"/>
    <w:rsid w:val="0004784D"/>
    <w:rsid w:val="00053A00"/>
    <w:rsid w:val="00073C7B"/>
    <w:rsid w:val="000B255E"/>
    <w:rsid w:val="000B5DDC"/>
    <w:rsid w:val="000B6C00"/>
    <w:rsid w:val="000C1F06"/>
    <w:rsid w:val="000C3BA6"/>
    <w:rsid w:val="000C461A"/>
    <w:rsid w:val="000D30DA"/>
    <w:rsid w:val="000D33F9"/>
    <w:rsid w:val="000F1DD1"/>
    <w:rsid w:val="000F28B8"/>
    <w:rsid w:val="000F3766"/>
    <w:rsid w:val="00106FC4"/>
    <w:rsid w:val="00111F0C"/>
    <w:rsid w:val="001267BE"/>
    <w:rsid w:val="001268CE"/>
    <w:rsid w:val="00145E2D"/>
    <w:rsid w:val="00153369"/>
    <w:rsid w:val="0016612C"/>
    <w:rsid w:val="001763D4"/>
    <w:rsid w:val="00177CD5"/>
    <w:rsid w:val="0018081E"/>
    <w:rsid w:val="00181433"/>
    <w:rsid w:val="001834DD"/>
    <w:rsid w:val="00195808"/>
    <w:rsid w:val="001B4031"/>
    <w:rsid w:val="001C096E"/>
    <w:rsid w:val="001C53CE"/>
    <w:rsid w:val="001C5D96"/>
    <w:rsid w:val="001D341B"/>
    <w:rsid w:val="001D674E"/>
    <w:rsid w:val="001E3D2B"/>
    <w:rsid w:val="001E66CE"/>
    <w:rsid w:val="001E6A2A"/>
    <w:rsid w:val="00202CD9"/>
    <w:rsid w:val="00205B61"/>
    <w:rsid w:val="00221DC2"/>
    <w:rsid w:val="00226BED"/>
    <w:rsid w:val="0023357F"/>
    <w:rsid w:val="002340AD"/>
    <w:rsid w:val="00244B48"/>
    <w:rsid w:val="002573D5"/>
    <w:rsid w:val="00257561"/>
    <w:rsid w:val="0026100B"/>
    <w:rsid w:val="00264E26"/>
    <w:rsid w:val="00275DCF"/>
    <w:rsid w:val="00280E74"/>
    <w:rsid w:val="002953D5"/>
    <w:rsid w:val="002A41E1"/>
    <w:rsid w:val="002B6574"/>
    <w:rsid w:val="002C7B44"/>
    <w:rsid w:val="002D2C2D"/>
    <w:rsid w:val="002D4D48"/>
    <w:rsid w:val="002E21D2"/>
    <w:rsid w:val="002F7D3C"/>
    <w:rsid w:val="00305720"/>
    <w:rsid w:val="00306A86"/>
    <w:rsid w:val="00312068"/>
    <w:rsid w:val="003131AB"/>
    <w:rsid w:val="003217BE"/>
    <w:rsid w:val="003239FB"/>
    <w:rsid w:val="00335E3B"/>
    <w:rsid w:val="003436FC"/>
    <w:rsid w:val="00351AAF"/>
    <w:rsid w:val="00365106"/>
    <w:rsid w:val="00367BFC"/>
    <w:rsid w:val="00374FEE"/>
    <w:rsid w:val="0038161D"/>
    <w:rsid w:val="003948B9"/>
    <w:rsid w:val="00395AC6"/>
    <w:rsid w:val="003B26B7"/>
    <w:rsid w:val="003D0647"/>
    <w:rsid w:val="003D1265"/>
    <w:rsid w:val="003D1528"/>
    <w:rsid w:val="003D3B1D"/>
    <w:rsid w:val="003D3EC9"/>
    <w:rsid w:val="003D5DBE"/>
    <w:rsid w:val="003D6102"/>
    <w:rsid w:val="003F020A"/>
    <w:rsid w:val="004010F6"/>
    <w:rsid w:val="00404841"/>
    <w:rsid w:val="00406EA7"/>
    <w:rsid w:val="00412059"/>
    <w:rsid w:val="00425633"/>
    <w:rsid w:val="00441E79"/>
    <w:rsid w:val="00450486"/>
    <w:rsid w:val="00462A9D"/>
    <w:rsid w:val="00463A9B"/>
    <w:rsid w:val="004709E9"/>
    <w:rsid w:val="00483A58"/>
    <w:rsid w:val="00484644"/>
    <w:rsid w:val="004854E0"/>
    <w:rsid w:val="004927E6"/>
    <w:rsid w:val="004A519F"/>
    <w:rsid w:val="004A53CB"/>
    <w:rsid w:val="004C7529"/>
    <w:rsid w:val="004D69D5"/>
    <w:rsid w:val="004D700E"/>
    <w:rsid w:val="004D7F17"/>
    <w:rsid w:val="004E0670"/>
    <w:rsid w:val="004E1EB0"/>
    <w:rsid w:val="004E7F37"/>
    <w:rsid w:val="004F0D4A"/>
    <w:rsid w:val="004F31BA"/>
    <w:rsid w:val="00503A53"/>
    <w:rsid w:val="0050712A"/>
    <w:rsid w:val="0051299F"/>
    <w:rsid w:val="00526B85"/>
    <w:rsid w:val="005306A1"/>
    <w:rsid w:val="005340BB"/>
    <w:rsid w:val="00540BDB"/>
    <w:rsid w:val="00551BC5"/>
    <w:rsid w:val="00561E84"/>
    <w:rsid w:val="00565D5F"/>
    <w:rsid w:val="0059000C"/>
    <w:rsid w:val="005A02A1"/>
    <w:rsid w:val="005B10F7"/>
    <w:rsid w:val="005C4DC1"/>
    <w:rsid w:val="005C5738"/>
    <w:rsid w:val="005D7A24"/>
    <w:rsid w:val="005F493D"/>
    <w:rsid w:val="00616EBA"/>
    <w:rsid w:val="00623B57"/>
    <w:rsid w:val="006245A8"/>
    <w:rsid w:val="00632C08"/>
    <w:rsid w:val="00654C42"/>
    <w:rsid w:val="0067074A"/>
    <w:rsid w:val="00672994"/>
    <w:rsid w:val="00672ABF"/>
    <w:rsid w:val="00675549"/>
    <w:rsid w:val="0068246A"/>
    <w:rsid w:val="00687F1F"/>
    <w:rsid w:val="006A6353"/>
    <w:rsid w:val="006B460C"/>
    <w:rsid w:val="006B597B"/>
    <w:rsid w:val="006B626A"/>
    <w:rsid w:val="006C15C5"/>
    <w:rsid w:val="006E7EA2"/>
    <w:rsid w:val="006F3704"/>
    <w:rsid w:val="006F7CAB"/>
    <w:rsid w:val="00705DCB"/>
    <w:rsid w:val="00710495"/>
    <w:rsid w:val="00716E27"/>
    <w:rsid w:val="00736A76"/>
    <w:rsid w:val="007416C9"/>
    <w:rsid w:val="007437A9"/>
    <w:rsid w:val="00752C6B"/>
    <w:rsid w:val="007539A7"/>
    <w:rsid w:val="0075547E"/>
    <w:rsid w:val="00760CE6"/>
    <w:rsid w:val="00764A03"/>
    <w:rsid w:val="007719C9"/>
    <w:rsid w:val="00772718"/>
    <w:rsid w:val="00783D2E"/>
    <w:rsid w:val="00786806"/>
    <w:rsid w:val="007A321C"/>
    <w:rsid w:val="007A4BF7"/>
    <w:rsid w:val="007C5171"/>
    <w:rsid w:val="007D30A8"/>
    <w:rsid w:val="007E0C23"/>
    <w:rsid w:val="007E1AF4"/>
    <w:rsid w:val="007E50C5"/>
    <w:rsid w:val="00810CEA"/>
    <w:rsid w:val="00811210"/>
    <w:rsid w:val="00814FB1"/>
    <w:rsid w:val="0081661E"/>
    <w:rsid w:val="00820F20"/>
    <w:rsid w:val="008234CB"/>
    <w:rsid w:val="0082528A"/>
    <w:rsid w:val="00825754"/>
    <w:rsid w:val="008327EE"/>
    <w:rsid w:val="00835210"/>
    <w:rsid w:val="00835C37"/>
    <w:rsid w:val="00844C2D"/>
    <w:rsid w:val="00860ABA"/>
    <w:rsid w:val="0086318D"/>
    <w:rsid w:val="008735CE"/>
    <w:rsid w:val="0087438E"/>
    <w:rsid w:val="00884668"/>
    <w:rsid w:val="008A33B6"/>
    <w:rsid w:val="008A409E"/>
    <w:rsid w:val="008B2B46"/>
    <w:rsid w:val="008B6618"/>
    <w:rsid w:val="008D1B38"/>
    <w:rsid w:val="008F1804"/>
    <w:rsid w:val="009206B7"/>
    <w:rsid w:val="00921840"/>
    <w:rsid w:val="009331B4"/>
    <w:rsid w:val="0093350F"/>
    <w:rsid w:val="009345F1"/>
    <w:rsid w:val="00944BBB"/>
    <w:rsid w:val="009547B6"/>
    <w:rsid w:val="00956E94"/>
    <w:rsid w:val="00961072"/>
    <w:rsid w:val="00972F99"/>
    <w:rsid w:val="00991A01"/>
    <w:rsid w:val="00991E96"/>
    <w:rsid w:val="009A78C9"/>
    <w:rsid w:val="009D39DF"/>
    <w:rsid w:val="009E750F"/>
    <w:rsid w:val="009E7DC7"/>
    <w:rsid w:val="009F6073"/>
    <w:rsid w:val="009F64F5"/>
    <w:rsid w:val="00A04D96"/>
    <w:rsid w:val="00A060A7"/>
    <w:rsid w:val="00A0629B"/>
    <w:rsid w:val="00A14495"/>
    <w:rsid w:val="00A16AD4"/>
    <w:rsid w:val="00A16BE1"/>
    <w:rsid w:val="00A21330"/>
    <w:rsid w:val="00A22F5D"/>
    <w:rsid w:val="00A37324"/>
    <w:rsid w:val="00A454BF"/>
    <w:rsid w:val="00A52E3A"/>
    <w:rsid w:val="00A548D6"/>
    <w:rsid w:val="00A814CB"/>
    <w:rsid w:val="00A841B2"/>
    <w:rsid w:val="00A90D1B"/>
    <w:rsid w:val="00A9354D"/>
    <w:rsid w:val="00A97F9B"/>
    <w:rsid w:val="00AD3CC4"/>
    <w:rsid w:val="00AD5067"/>
    <w:rsid w:val="00AE186F"/>
    <w:rsid w:val="00AE6C50"/>
    <w:rsid w:val="00AF55F8"/>
    <w:rsid w:val="00B01182"/>
    <w:rsid w:val="00B03503"/>
    <w:rsid w:val="00B10ABA"/>
    <w:rsid w:val="00B1148A"/>
    <w:rsid w:val="00B420D4"/>
    <w:rsid w:val="00B42765"/>
    <w:rsid w:val="00B53918"/>
    <w:rsid w:val="00B57910"/>
    <w:rsid w:val="00B61650"/>
    <w:rsid w:val="00B67E4A"/>
    <w:rsid w:val="00B7430D"/>
    <w:rsid w:val="00BA4949"/>
    <w:rsid w:val="00BC093A"/>
    <w:rsid w:val="00BC1A90"/>
    <w:rsid w:val="00BC4ACC"/>
    <w:rsid w:val="00BC4FCC"/>
    <w:rsid w:val="00BC7D53"/>
    <w:rsid w:val="00BD02F8"/>
    <w:rsid w:val="00BD410F"/>
    <w:rsid w:val="00BE4C11"/>
    <w:rsid w:val="00BF5B01"/>
    <w:rsid w:val="00C217A8"/>
    <w:rsid w:val="00C2497D"/>
    <w:rsid w:val="00C4188F"/>
    <w:rsid w:val="00C45D98"/>
    <w:rsid w:val="00C66763"/>
    <w:rsid w:val="00C67D80"/>
    <w:rsid w:val="00C743CE"/>
    <w:rsid w:val="00C77CA8"/>
    <w:rsid w:val="00C819A4"/>
    <w:rsid w:val="00C84EA8"/>
    <w:rsid w:val="00C9008B"/>
    <w:rsid w:val="00C92998"/>
    <w:rsid w:val="00C9313C"/>
    <w:rsid w:val="00CA6185"/>
    <w:rsid w:val="00CA720A"/>
    <w:rsid w:val="00CB2FEB"/>
    <w:rsid w:val="00CB50E6"/>
    <w:rsid w:val="00CB718F"/>
    <w:rsid w:val="00CD5925"/>
    <w:rsid w:val="00CE2871"/>
    <w:rsid w:val="00CE557A"/>
    <w:rsid w:val="00D00635"/>
    <w:rsid w:val="00D031B2"/>
    <w:rsid w:val="00D1410C"/>
    <w:rsid w:val="00D14420"/>
    <w:rsid w:val="00D14610"/>
    <w:rsid w:val="00D2031A"/>
    <w:rsid w:val="00D22686"/>
    <w:rsid w:val="00D34A6D"/>
    <w:rsid w:val="00D40D16"/>
    <w:rsid w:val="00D42AE0"/>
    <w:rsid w:val="00D548F0"/>
    <w:rsid w:val="00D5671F"/>
    <w:rsid w:val="00D57F79"/>
    <w:rsid w:val="00D64FAC"/>
    <w:rsid w:val="00D65704"/>
    <w:rsid w:val="00D668F6"/>
    <w:rsid w:val="00D73264"/>
    <w:rsid w:val="00D84875"/>
    <w:rsid w:val="00D84F98"/>
    <w:rsid w:val="00D904F0"/>
    <w:rsid w:val="00D91378"/>
    <w:rsid w:val="00D91B18"/>
    <w:rsid w:val="00DC0747"/>
    <w:rsid w:val="00DC2647"/>
    <w:rsid w:val="00DD1408"/>
    <w:rsid w:val="00DD356D"/>
    <w:rsid w:val="00DD6735"/>
    <w:rsid w:val="00DF136A"/>
    <w:rsid w:val="00DF1BD8"/>
    <w:rsid w:val="00DF369F"/>
    <w:rsid w:val="00E017AA"/>
    <w:rsid w:val="00E0448C"/>
    <w:rsid w:val="00E12477"/>
    <w:rsid w:val="00E13525"/>
    <w:rsid w:val="00E47250"/>
    <w:rsid w:val="00E53CF9"/>
    <w:rsid w:val="00E5588A"/>
    <w:rsid w:val="00E61535"/>
    <w:rsid w:val="00E83C3D"/>
    <w:rsid w:val="00E84012"/>
    <w:rsid w:val="00E9373C"/>
    <w:rsid w:val="00E97C57"/>
    <w:rsid w:val="00EA0724"/>
    <w:rsid w:val="00EA0DCC"/>
    <w:rsid w:val="00EA1C96"/>
    <w:rsid w:val="00EA6251"/>
    <w:rsid w:val="00EB3B9D"/>
    <w:rsid w:val="00EB6414"/>
    <w:rsid w:val="00ED01D9"/>
    <w:rsid w:val="00ED12E1"/>
    <w:rsid w:val="00EE5747"/>
    <w:rsid w:val="00EF2046"/>
    <w:rsid w:val="00EF3804"/>
    <w:rsid w:val="00EF4486"/>
    <w:rsid w:val="00EF5E05"/>
    <w:rsid w:val="00F073CC"/>
    <w:rsid w:val="00F12E26"/>
    <w:rsid w:val="00F227AF"/>
    <w:rsid w:val="00F27370"/>
    <w:rsid w:val="00F34AEB"/>
    <w:rsid w:val="00F44AB8"/>
    <w:rsid w:val="00F45650"/>
    <w:rsid w:val="00F5341C"/>
    <w:rsid w:val="00F56954"/>
    <w:rsid w:val="00F764DB"/>
    <w:rsid w:val="00F83081"/>
    <w:rsid w:val="00F9070B"/>
    <w:rsid w:val="00F9441D"/>
    <w:rsid w:val="00F948AF"/>
    <w:rsid w:val="00F95159"/>
    <w:rsid w:val="00FA5A7B"/>
    <w:rsid w:val="00FA7C1F"/>
    <w:rsid w:val="00FB11B1"/>
    <w:rsid w:val="00FC59F7"/>
    <w:rsid w:val="00FE00E8"/>
    <w:rsid w:val="00FE6BCD"/>
    <w:rsid w:val="00FF1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B4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8A409E"/>
    <w:pPr>
      <w:keepNext/>
      <w:keepLines/>
      <w:spacing w:before="48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8A409E"/>
    <w:rPr>
      <w:rFonts w:ascii="Georgia" w:eastAsiaTheme="majorEastAsia" w:hAnsi="Georgia" w:cstheme="majorBidi"/>
      <w:bCs/>
      <w:color w:val="005568"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9"/>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C77CA8"/>
    <w:pPr>
      <w:spacing w:after="140" w:line="1000" w:lineRule="exact"/>
      <w:contextualSpacing/>
    </w:pPr>
    <w:rPr>
      <w:rFonts w:ascii="Georgia" w:eastAsiaTheme="majorEastAsia" w:hAnsi="Georgia" w:cstheme="majorBidi"/>
      <w:color w:val="005568" w:themeColor="accent1"/>
      <w:kern w:val="28"/>
      <w:sz w:val="72"/>
      <w:szCs w:val="52"/>
    </w:rPr>
  </w:style>
  <w:style w:type="character" w:customStyle="1" w:styleId="TitleChar">
    <w:name w:val="Title Char"/>
    <w:basedOn w:val="DefaultParagraphFont"/>
    <w:link w:val="Title"/>
    <w:uiPriority w:val="36"/>
    <w:rsid w:val="00C77CA8"/>
    <w:rPr>
      <w:rFonts w:ascii="Georgia" w:eastAsiaTheme="majorEastAsia" w:hAnsi="Georgia" w:cstheme="majorBidi"/>
      <w:color w:val="005568" w:themeColor="accent1"/>
      <w:kern w:val="28"/>
      <w:sz w:val="72"/>
      <w:szCs w:val="52"/>
    </w:rPr>
  </w:style>
  <w:style w:type="paragraph" w:styleId="Caption">
    <w:name w:val="caption"/>
    <w:basedOn w:val="Heading3"/>
    <w:next w:val="BodyText"/>
    <w:uiPriority w:val="35"/>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character" w:styleId="BookTitle">
    <w:name w:val="Book Title"/>
    <w:uiPriority w:val="33"/>
    <w:qFormat/>
    <w:rsid w:val="00153369"/>
    <w:rPr>
      <w:i/>
      <w:iCs/>
      <w:smallCaps/>
      <w:spacing w:val="5"/>
    </w:rPr>
  </w:style>
  <w:style w:type="paragraph" w:styleId="ListBullet">
    <w:name w:val="List Bullet"/>
    <w:basedOn w:val="Normal"/>
    <w:uiPriority w:val="1"/>
    <w:qFormat/>
    <w:rsid w:val="002340AD"/>
    <w:pPr>
      <w:numPr>
        <w:numId w:val="6"/>
      </w:numPr>
      <w:tabs>
        <w:tab w:val="clear" w:pos="360"/>
        <w:tab w:val="left" w:pos="170"/>
      </w:tabs>
      <w:spacing w:before="60" w:after="60" w:line="240" w:lineRule="atLeast"/>
      <w:ind w:left="170" w:hanging="170"/>
    </w:pPr>
    <w:rPr>
      <w:rFonts w:ascii="Arial" w:eastAsia="Times New Roman" w:hAnsi="Arial"/>
      <w:color w:val="auto"/>
      <w:sz w:val="20"/>
      <w:szCs w:val="24"/>
      <w:lang w:eastAsia="en-AU"/>
    </w:rPr>
  </w:style>
  <w:style w:type="paragraph" w:styleId="NormalWeb">
    <w:name w:val="Normal (Web)"/>
    <w:basedOn w:val="Normal"/>
    <w:uiPriority w:val="99"/>
    <w:rsid w:val="002340AD"/>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abletext0">
    <w:name w:val="table text"/>
    <w:basedOn w:val="Normal"/>
    <w:rsid w:val="002340AD"/>
    <w:pPr>
      <w:spacing w:before="120" w:after="120" w:line="240" w:lineRule="auto"/>
    </w:pPr>
    <w:rPr>
      <w:rFonts w:ascii="Arial" w:eastAsia="Times New Roman" w:hAnsi="Arial"/>
      <w:color w:val="auto"/>
      <w:szCs w:val="24"/>
    </w:rPr>
  </w:style>
  <w:style w:type="paragraph" w:styleId="ListParagraph">
    <w:name w:val="List Paragraph"/>
    <w:basedOn w:val="Normal"/>
    <w:uiPriority w:val="34"/>
    <w:rsid w:val="002340AD"/>
    <w:pPr>
      <w:spacing w:before="120" w:after="120" w:line="240" w:lineRule="atLeast"/>
      <w:ind w:left="720"/>
      <w:contextualSpacing/>
    </w:pPr>
    <w:rPr>
      <w:rFonts w:ascii="Arial" w:eastAsia="Times New Roman" w:hAnsi="Arial"/>
      <w:color w:val="auto"/>
      <w:sz w:val="20"/>
      <w:szCs w:val="24"/>
      <w:lang w:eastAsia="en-AU"/>
    </w:rPr>
  </w:style>
  <w:style w:type="character" w:styleId="FollowedHyperlink">
    <w:name w:val="FollowedHyperlink"/>
    <w:basedOn w:val="DefaultParagraphFont"/>
    <w:uiPriority w:val="99"/>
    <w:semiHidden/>
    <w:unhideWhenUsed/>
    <w:rsid w:val="002340AD"/>
    <w:rPr>
      <w:color w:val="800080" w:themeColor="followedHyperlink"/>
      <w:u w:val="single"/>
    </w:rPr>
  </w:style>
  <w:style w:type="table" w:customStyle="1" w:styleId="TableGrid1">
    <w:name w:val="Table Grid1"/>
    <w:basedOn w:val="TableNormal"/>
    <w:next w:val="TableGrid"/>
    <w:rsid w:val="002340AD"/>
    <w:rPr>
      <w:rFonts w:ascii="Times New Roman" w:eastAsia="Times New Roman" w:hAnsi="Times New Roman"/>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6AD4"/>
    <w:rPr>
      <w:sz w:val="16"/>
      <w:szCs w:val="16"/>
    </w:rPr>
  </w:style>
  <w:style w:type="paragraph" w:styleId="CommentText">
    <w:name w:val="annotation text"/>
    <w:basedOn w:val="Normal"/>
    <w:link w:val="CommentTextChar"/>
    <w:uiPriority w:val="99"/>
    <w:semiHidden/>
    <w:unhideWhenUsed/>
    <w:rsid w:val="00A16AD4"/>
    <w:pPr>
      <w:spacing w:line="240" w:lineRule="auto"/>
    </w:pPr>
    <w:rPr>
      <w:sz w:val="20"/>
    </w:rPr>
  </w:style>
  <w:style w:type="character" w:customStyle="1" w:styleId="CommentTextChar">
    <w:name w:val="Comment Text Char"/>
    <w:basedOn w:val="DefaultParagraphFont"/>
    <w:link w:val="CommentText"/>
    <w:uiPriority w:val="99"/>
    <w:semiHidden/>
    <w:rsid w:val="00A16AD4"/>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16AD4"/>
    <w:rPr>
      <w:b/>
      <w:bCs/>
    </w:rPr>
  </w:style>
  <w:style w:type="character" w:customStyle="1" w:styleId="CommentSubjectChar">
    <w:name w:val="Comment Subject Char"/>
    <w:basedOn w:val="CommentTextChar"/>
    <w:link w:val="CommentSubject"/>
    <w:uiPriority w:val="99"/>
    <w:semiHidden/>
    <w:rsid w:val="00A16AD4"/>
    <w:rPr>
      <w:rFonts w:asciiTheme="minorHAnsi" w:hAnsiTheme="minorHAnsi"/>
      <w:b/>
      <w:bCs/>
      <w:color w:val="000000" w:themeColor="text1"/>
    </w:rPr>
  </w:style>
  <w:style w:type="paragraph" w:customStyle="1" w:styleId="Heading1Numbered">
    <w:name w:val="Heading 1 Numbered"/>
    <w:basedOn w:val="Heading1"/>
    <w:next w:val="Normal"/>
    <w:qFormat/>
    <w:rsid w:val="009E7DC7"/>
    <w:pPr>
      <w:numPr>
        <w:numId w:val="18"/>
      </w:numPr>
      <w:suppressAutoHyphens/>
      <w:spacing w:after="60" w:line="440" w:lineRule="atLeast"/>
      <w:contextualSpacing/>
    </w:pPr>
    <w:rPr>
      <w:rFonts w:asciiTheme="majorHAnsi" w:hAnsiTheme="majorHAnsi"/>
      <w:color w:val="auto"/>
    </w:rPr>
  </w:style>
  <w:style w:type="paragraph" w:customStyle="1" w:styleId="Heading2Numbered">
    <w:name w:val="Heading 2 Numbered"/>
    <w:basedOn w:val="Heading2"/>
    <w:next w:val="Normal"/>
    <w:qFormat/>
    <w:rsid w:val="009E7DC7"/>
    <w:pPr>
      <w:numPr>
        <w:ilvl w:val="1"/>
        <w:numId w:val="18"/>
      </w:numPr>
      <w:suppressAutoHyphens/>
      <w:spacing w:before="120" w:after="60" w:line="280" w:lineRule="atLeast"/>
      <w:contextualSpacing/>
    </w:pPr>
    <w:rPr>
      <w:color w:val="auto"/>
    </w:rPr>
  </w:style>
  <w:style w:type="paragraph" w:customStyle="1" w:styleId="Heading3Numbered">
    <w:name w:val="Heading 3 Numbered"/>
    <w:basedOn w:val="Heading3"/>
    <w:next w:val="Normal"/>
    <w:qFormat/>
    <w:rsid w:val="009E7DC7"/>
    <w:pPr>
      <w:numPr>
        <w:ilvl w:val="2"/>
        <w:numId w:val="18"/>
      </w:numPr>
      <w:suppressAutoHyphens/>
      <w:spacing w:before="120" w:after="60"/>
      <w:contextualSpacing/>
    </w:pPr>
    <w:rPr>
      <w:color w:val="auto"/>
      <w:szCs w:val="22"/>
    </w:rPr>
  </w:style>
  <w:style w:type="numbering" w:customStyle="1" w:styleId="HeadingsList">
    <w:name w:val="Headings List"/>
    <w:uiPriority w:val="99"/>
    <w:rsid w:val="009E7DC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372923210">
      <w:bodyDiv w:val="1"/>
      <w:marLeft w:val="0"/>
      <w:marRight w:val="0"/>
      <w:marTop w:val="0"/>
      <w:marBottom w:val="0"/>
      <w:divBdr>
        <w:top w:val="none" w:sz="0" w:space="0" w:color="auto"/>
        <w:left w:val="none" w:sz="0" w:space="0" w:color="auto"/>
        <w:bottom w:val="none" w:sz="0" w:space="0" w:color="auto"/>
        <w:right w:val="none" w:sz="0" w:space="0" w:color="auto"/>
      </w:divBdr>
    </w:div>
    <w:div w:id="497429180">
      <w:bodyDiv w:val="1"/>
      <w:marLeft w:val="0"/>
      <w:marRight w:val="0"/>
      <w:marTop w:val="0"/>
      <w:marBottom w:val="0"/>
      <w:divBdr>
        <w:top w:val="none" w:sz="0" w:space="0" w:color="auto"/>
        <w:left w:val="none" w:sz="0" w:space="0" w:color="auto"/>
        <w:bottom w:val="none" w:sz="0" w:space="0" w:color="auto"/>
        <w:right w:val="none" w:sz="0" w:space="0" w:color="auto"/>
      </w:divBdr>
    </w:div>
    <w:div w:id="15528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ex.dss.gov.au/training"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ex.dss.gov.au/document/81" TargetMode="External"/><Relationship Id="rId2" Type="http://schemas.openxmlformats.org/officeDocument/2006/relationships/customXml" Target="../customXml/item2.xml"/><Relationship Id="rId16" Type="http://schemas.openxmlformats.org/officeDocument/2006/relationships/hyperlink" Target="https://help.qlik.com/en-US/sense/September2017/Subsystems/PlanningQlikSenseDeployments/Content/Introduction/supported-browser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dssdataexchange.helpdesk@dss.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4EA86-3151-45B7-9FD2-A3650A08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433</Words>
  <Characters>2147</Characters>
  <Application>Microsoft Office Word</Application>
  <DocSecurity>4</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[SEC=OFFICIAL]</cp:keywords>
  <cp:lastModifiedBy/>
  <cp:revision>1</cp:revision>
  <dcterms:created xsi:type="dcterms:W3CDTF">2023-03-23T22:14:00Z</dcterms:created>
  <dcterms:modified xsi:type="dcterms:W3CDTF">2023-03-23T22:14:00Z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31D714017BB34D98A2AAE31533E54A68</vt:lpwstr>
  </property>
  <property fmtid="{D5CDD505-2E9C-101B-9397-08002B2CF9AE}" pid="9" name="PM_ProtectiveMarkingValue_Footer">
    <vt:lpwstr>OFFICIAL</vt:lpwstr>
  </property>
  <property fmtid="{D5CDD505-2E9C-101B-9397-08002B2CF9AE}" pid="10" name="PM_Originator_Hash_SHA1">
    <vt:lpwstr>FA6117C6B37BAC5365330548E42CC60CFE18DBDE</vt:lpwstr>
  </property>
  <property fmtid="{D5CDD505-2E9C-101B-9397-08002B2CF9AE}" pid="11" name="PM_OriginationTimeStamp">
    <vt:lpwstr>2023-03-23T22:14:38Z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D610E5A4556B95DD5AC4AEC1F3B808DE</vt:lpwstr>
  </property>
  <property fmtid="{D5CDD505-2E9C-101B-9397-08002B2CF9AE}" pid="21" name="PM_Hash_Salt">
    <vt:lpwstr>7DB4F9100ACFA5CCD9CF57DD3103D1E8</vt:lpwstr>
  </property>
  <property fmtid="{D5CDD505-2E9C-101B-9397-08002B2CF9AE}" pid="22" name="PM_Hash_SHA1">
    <vt:lpwstr>5EC3F976F1CA1A69F18DBB67CF49387C6B452253</vt:lpwstr>
  </property>
  <property fmtid="{D5CDD505-2E9C-101B-9397-08002B2CF9AE}" pid="23" name="PM_OriginatorUserAccountName_SHA256">
    <vt:lpwstr>F263DF5889FC2184BCAB361297364C9625F5634133940FE6D6C7767D9AE8748A</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