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FC1" w:rsidRPr="00BF6068" w:rsidRDefault="00FD5943" w:rsidP="005D3C58">
      <w:pPr>
        <w:rPr>
          <w:rFonts w:ascii="Georgia" w:hAnsi="Georgia"/>
          <w:bCs/>
          <w:color w:val="215868" w:themeColor="accent5" w:themeShade="80"/>
          <w:sz w:val="52"/>
          <w:szCs w:val="36"/>
        </w:rPr>
      </w:pPr>
      <w:r w:rsidRPr="00BF6068">
        <w:rPr>
          <w:rFonts w:ascii="Georgia" w:hAnsi="Georgia"/>
          <w:bCs/>
          <w:color w:val="215868" w:themeColor="accent5" w:themeShade="80"/>
          <w:sz w:val="52"/>
          <w:szCs w:val="36"/>
        </w:rPr>
        <w:t>Settlement Engagement and Transition Support (SETS) Program</w:t>
      </w:r>
    </w:p>
    <w:p w:rsidR="00FD5943" w:rsidRDefault="00FD5943" w:rsidP="00FD5943">
      <w:pPr>
        <w:pStyle w:val="Heading2"/>
      </w:pPr>
      <w:r>
        <w:t>Questions and Answers</w:t>
      </w:r>
    </w:p>
    <w:p w:rsidR="005D3C58" w:rsidRDefault="00FD5943" w:rsidP="00FD5943">
      <w:pPr>
        <w:pStyle w:val="Heading3"/>
      </w:pPr>
      <w:r>
        <w:t>Clients</w:t>
      </w:r>
      <w:r w:rsidR="00F85BB2">
        <w:t xml:space="preserve">, Cases and </w:t>
      </w:r>
      <w:r>
        <w:t>Session</w:t>
      </w:r>
      <w:r w:rsidR="00F85BB2">
        <w:t>s</w:t>
      </w:r>
      <w:r>
        <w:t xml:space="preserve"> Questions</w:t>
      </w:r>
    </w:p>
    <w:p w:rsidR="007267D3" w:rsidRDefault="007267D3" w:rsidP="00FD5943">
      <w:r>
        <w:t>Taskcards for adding and editing client</w:t>
      </w:r>
      <w:r w:rsidR="00BF6068">
        <w:t>s</w:t>
      </w:r>
      <w:r>
        <w:t xml:space="preserve">, cases and sessions are available on the </w:t>
      </w:r>
      <w:hyperlink r:id="rId8" w:history="1">
        <w:r w:rsidRPr="00A502F0">
          <w:rPr>
            <w:rStyle w:val="Hyperlink"/>
          </w:rPr>
          <w:t>Data Exchange</w:t>
        </w:r>
      </w:hyperlink>
      <w:r>
        <w:t xml:space="preserve"> website</w:t>
      </w:r>
      <w:r w:rsidR="00A502F0">
        <w:t>.</w:t>
      </w:r>
      <w:r>
        <w:t xml:space="preserve"> </w:t>
      </w:r>
    </w:p>
    <w:p w:rsidR="00350D7C" w:rsidRDefault="00F85BB2" w:rsidP="00350D7C">
      <w:pPr>
        <w:rPr>
          <w:rFonts w:ascii="Arial Unicode MS" w:eastAsia="Times New Roman" w:hAnsi="Arial Unicode MS" w:cs="Calibri"/>
          <w:lang w:eastAsia="en-AU"/>
        </w:rPr>
      </w:pPr>
      <w:r w:rsidRPr="00BF6068">
        <w:rPr>
          <w:rFonts w:eastAsiaTheme="majorEastAsia" w:cstheme="majorBidi"/>
          <w:b/>
          <w:bCs/>
          <w:color w:val="215868" w:themeColor="accent5" w:themeShade="80"/>
          <w:sz w:val="28"/>
          <w:szCs w:val="26"/>
        </w:rPr>
        <w:t>Q.</w:t>
      </w:r>
      <w:r>
        <w:t xml:space="preserve"> </w:t>
      </w:r>
      <w:r w:rsidR="00350D7C">
        <w:t>H</w:t>
      </w:r>
      <w:r w:rsidR="00350D7C" w:rsidRPr="00350D7C">
        <w:rPr>
          <w:rFonts w:ascii="Arial Unicode MS" w:eastAsia="Times New Roman" w:hAnsi="Arial Unicode MS" w:cs="Calibri"/>
          <w:lang w:eastAsia="en-AU"/>
        </w:rPr>
        <w:t>ow can we change the client’s detai</w:t>
      </w:r>
      <w:bookmarkStart w:id="0" w:name="_GoBack"/>
      <w:bookmarkEnd w:id="0"/>
      <w:r w:rsidR="00350D7C" w:rsidRPr="00350D7C">
        <w:rPr>
          <w:rFonts w:ascii="Arial Unicode MS" w:eastAsia="Times New Roman" w:hAnsi="Arial Unicode MS" w:cs="Calibri"/>
          <w:lang w:eastAsia="en-AU"/>
        </w:rPr>
        <w:t xml:space="preserve">ls? </w:t>
      </w:r>
    </w:p>
    <w:p w:rsidR="00DD14AA" w:rsidRDefault="00DD14AA" w:rsidP="007267D3">
      <w:pPr>
        <w:spacing w:line="288" w:lineRule="auto"/>
        <w:ind w:left="993" w:hanging="273"/>
        <w:rPr>
          <w:rFonts w:ascii="Arial Unicode MS" w:eastAsia="Times New Roman" w:hAnsi="Arial Unicode MS" w:cs="Calibri"/>
          <w:lang w:eastAsia="en-AU"/>
        </w:rPr>
      </w:pPr>
      <w:r w:rsidRPr="00BF6068">
        <w:rPr>
          <w:rFonts w:eastAsiaTheme="majorEastAsia" w:cstheme="majorBidi"/>
          <w:b/>
          <w:bCs/>
          <w:color w:val="215868" w:themeColor="accent5" w:themeShade="80"/>
          <w:sz w:val="28"/>
          <w:szCs w:val="26"/>
        </w:rPr>
        <w:t>A.</w:t>
      </w:r>
      <w:r>
        <w:rPr>
          <w:rFonts w:ascii="Arial Unicode MS" w:eastAsia="Times New Roman" w:hAnsi="Arial Unicode MS" w:cs="Calibri"/>
          <w:lang w:eastAsia="en-AU"/>
        </w:rPr>
        <w:t xml:space="preserve"> </w:t>
      </w:r>
      <w:r w:rsidR="0080349E">
        <w:rPr>
          <w:rFonts w:ascii="Arial Unicode MS" w:eastAsia="Times New Roman" w:hAnsi="Arial Unicode MS" w:cs="Calibri"/>
          <w:lang w:eastAsia="en-AU"/>
        </w:rPr>
        <w:t xml:space="preserve">Client details can be changed by going to the client record in the Data Exchange and selecting the </w:t>
      </w:r>
      <w:r w:rsidR="00A652F5">
        <w:rPr>
          <w:rFonts w:ascii="Arial Unicode MS" w:eastAsia="Times New Roman" w:hAnsi="Arial Unicode MS" w:cs="Calibri"/>
          <w:lang w:eastAsia="en-AU"/>
        </w:rPr>
        <w:t>‘E</w:t>
      </w:r>
      <w:r w:rsidR="0080349E">
        <w:rPr>
          <w:rFonts w:ascii="Arial Unicode MS" w:eastAsia="Times New Roman" w:hAnsi="Arial Unicode MS" w:cs="Calibri"/>
          <w:lang w:eastAsia="en-AU"/>
        </w:rPr>
        <w:t>dit client</w:t>
      </w:r>
      <w:r w:rsidR="00A652F5">
        <w:rPr>
          <w:rFonts w:ascii="Arial Unicode MS" w:eastAsia="Times New Roman" w:hAnsi="Arial Unicode MS" w:cs="Calibri"/>
          <w:lang w:eastAsia="en-AU"/>
        </w:rPr>
        <w:t xml:space="preserve"> details’</w:t>
      </w:r>
      <w:r w:rsidR="0080349E">
        <w:rPr>
          <w:rFonts w:ascii="Arial Unicode MS" w:eastAsia="Times New Roman" w:hAnsi="Arial Unicode MS" w:cs="Calibri"/>
          <w:lang w:eastAsia="en-AU"/>
        </w:rPr>
        <w:t xml:space="preserve"> option.  </w:t>
      </w:r>
      <w:r w:rsidR="00A652F5">
        <w:rPr>
          <w:rFonts w:ascii="Arial Unicode MS" w:eastAsia="Times New Roman" w:hAnsi="Arial Unicode MS" w:cs="Calibri"/>
          <w:lang w:eastAsia="en-AU"/>
        </w:rPr>
        <w:t>The ‘</w:t>
      </w:r>
      <w:hyperlink r:id="rId9" w:history="1">
        <w:r w:rsidR="00A652F5" w:rsidRPr="00A652F5">
          <w:rPr>
            <w:rStyle w:val="Hyperlink"/>
            <w:rFonts w:ascii="Arial Unicode MS" w:eastAsia="Times New Roman" w:hAnsi="Arial Unicode MS" w:cs="Calibri"/>
            <w:lang w:eastAsia="en-AU"/>
          </w:rPr>
          <w:t>Find and edit a client</w:t>
        </w:r>
      </w:hyperlink>
      <w:r w:rsidR="00A652F5">
        <w:rPr>
          <w:rFonts w:ascii="Arial Unicode MS" w:eastAsia="Times New Roman" w:hAnsi="Arial Unicode MS" w:cs="Calibri"/>
          <w:lang w:eastAsia="en-AU"/>
        </w:rPr>
        <w:t>’ task card can further assist with this.</w:t>
      </w:r>
    </w:p>
    <w:p w:rsidR="00350D7C" w:rsidRDefault="00350D7C" w:rsidP="00350D7C">
      <w:pPr>
        <w:rPr>
          <w:rFonts w:ascii="Arial Unicode MS" w:eastAsia="Times New Roman" w:hAnsi="Arial Unicode MS" w:cs="Calibri"/>
          <w:lang w:eastAsia="en-AU"/>
        </w:rPr>
      </w:pPr>
      <w:r w:rsidRPr="00BF6068">
        <w:rPr>
          <w:rFonts w:eastAsiaTheme="majorEastAsia" w:cstheme="majorBidi"/>
          <w:b/>
          <w:bCs/>
          <w:color w:val="215868" w:themeColor="accent5" w:themeShade="80"/>
          <w:sz w:val="28"/>
          <w:szCs w:val="26"/>
        </w:rPr>
        <w:t>Q.</w:t>
      </w:r>
      <w:r>
        <w:rPr>
          <w:rFonts w:ascii="Arial Unicode MS" w:eastAsia="Times New Roman" w:hAnsi="Arial Unicode MS" w:cs="Calibri"/>
          <w:lang w:eastAsia="en-AU"/>
        </w:rPr>
        <w:t xml:space="preserve"> </w:t>
      </w:r>
      <w:r w:rsidRPr="00350D7C">
        <w:rPr>
          <w:rFonts w:ascii="Arial Unicode MS" w:eastAsia="Times New Roman" w:hAnsi="Arial Unicode MS" w:cs="Calibri"/>
          <w:lang w:eastAsia="en-AU"/>
        </w:rPr>
        <w:t xml:space="preserve">What happens if I </w:t>
      </w:r>
      <w:r w:rsidR="0080349E" w:rsidRPr="00350D7C">
        <w:rPr>
          <w:rFonts w:ascii="Arial Unicode MS" w:eastAsia="Times New Roman" w:hAnsi="Arial Unicode MS" w:cs="Calibri"/>
          <w:lang w:eastAsia="en-AU"/>
        </w:rPr>
        <w:t>su</w:t>
      </w:r>
      <w:r w:rsidR="0080349E">
        <w:rPr>
          <w:rFonts w:ascii="Arial Unicode MS" w:eastAsia="Times New Roman" w:hAnsi="Arial Unicode MS" w:cs="Calibri"/>
          <w:lang w:eastAsia="en-AU"/>
        </w:rPr>
        <w:t>b</w:t>
      </w:r>
      <w:r w:rsidR="0080349E" w:rsidRPr="00350D7C">
        <w:rPr>
          <w:rFonts w:ascii="Arial Unicode MS" w:eastAsia="Times New Roman" w:hAnsi="Arial Unicode MS" w:cs="Calibri"/>
          <w:lang w:eastAsia="en-AU"/>
        </w:rPr>
        <w:t>mitted</w:t>
      </w:r>
      <w:r w:rsidRPr="00350D7C">
        <w:rPr>
          <w:rFonts w:ascii="Arial Unicode MS" w:eastAsia="Times New Roman" w:hAnsi="Arial Unicode MS" w:cs="Calibri"/>
          <w:lang w:eastAsia="en-AU"/>
        </w:rPr>
        <w:t xml:space="preserve"> the information </w:t>
      </w:r>
      <w:r w:rsidR="0080349E">
        <w:rPr>
          <w:rFonts w:ascii="Arial Unicode MS" w:eastAsia="Times New Roman" w:hAnsi="Arial Unicode MS" w:cs="Calibri"/>
          <w:lang w:eastAsia="en-AU"/>
        </w:rPr>
        <w:t xml:space="preserve">and </w:t>
      </w:r>
      <w:r w:rsidRPr="00350D7C">
        <w:rPr>
          <w:rFonts w:ascii="Arial Unicode MS" w:eastAsia="Times New Roman" w:hAnsi="Arial Unicode MS" w:cs="Calibri"/>
          <w:lang w:eastAsia="en-AU"/>
        </w:rPr>
        <w:t>the year</w:t>
      </w:r>
      <w:r>
        <w:rPr>
          <w:rFonts w:ascii="Arial Unicode MS" w:eastAsia="Times New Roman" w:hAnsi="Arial Unicode MS" w:cs="Calibri"/>
          <w:lang w:eastAsia="en-AU"/>
        </w:rPr>
        <w:t xml:space="preserve"> of birth</w:t>
      </w:r>
      <w:r w:rsidRPr="00350D7C">
        <w:rPr>
          <w:rFonts w:ascii="Arial Unicode MS" w:eastAsia="Times New Roman" w:hAnsi="Arial Unicode MS" w:cs="Calibri"/>
          <w:lang w:eastAsia="en-AU"/>
        </w:rPr>
        <w:t xml:space="preserve"> is not right? Could I go back</w:t>
      </w:r>
      <w:r>
        <w:rPr>
          <w:rFonts w:ascii="Arial Unicode MS" w:eastAsia="Times New Roman" w:hAnsi="Arial Unicode MS" w:cs="Calibri"/>
          <w:lang w:eastAsia="en-AU"/>
        </w:rPr>
        <w:t xml:space="preserve"> to the client's file </w:t>
      </w:r>
      <w:r w:rsidR="00DE142D">
        <w:rPr>
          <w:rFonts w:ascii="Arial Unicode MS" w:eastAsia="Times New Roman" w:hAnsi="Arial Unicode MS" w:cs="Calibri"/>
          <w:lang w:eastAsia="en-AU"/>
        </w:rPr>
        <w:t xml:space="preserve">and </w:t>
      </w:r>
      <w:r>
        <w:rPr>
          <w:rFonts w:ascii="Arial Unicode MS" w:eastAsia="Times New Roman" w:hAnsi="Arial Unicode MS" w:cs="Calibri"/>
          <w:lang w:eastAsia="en-AU"/>
        </w:rPr>
        <w:t>change it</w:t>
      </w:r>
      <w:r w:rsidRPr="00350D7C">
        <w:rPr>
          <w:rFonts w:ascii="Arial Unicode MS" w:eastAsia="Times New Roman" w:hAnsi="Arial Unicode MS" w:cs="Calibri"/>
          <w:lang w:eastAsia="en-AU"/>
        </w:rPr>
        <w:t>?</w:t>
      </w:r>
    </w:p>
    <w:p w:rsidR="00DD14AA" w:rsidRDefault="00DD14AA" w:rsidP="007267D3">
      <w:pPr>
        <w:spacing w:line="288" w:lineRule="auto"/>
        <w:ind w:left="993" w:hanging="273"/>
        <w:rPr>
          <w:rFonts w:ascii="Arial Unicode MS" w:eastAsia="Times New Roman" w:hAnsi="Arial Unicode MS" w:cs="Calibri"/>
          <w:lang w:eastAsia="en-AU"/>
        </w:rPr>
      </w:pPr>
      <w:r w:rsidRPr="00BF6068">
        <w:rPr>
          <w:rFonts w:eastAsiaTheme="majorEastAsia" w:cstheme="majorBidi"/>
          <w:b/>
          <w:bCs/>
          <w:color w:val="215868" w:themeColor="accent5" w:themeShade="80"/>
          <w:sz w:val="28"/>
          <w:szCs w:val="26"/>
        </w:rPr>
        <w:t>A.</w:t>
      </w:r>
      <w:r>
        <w:rPr>
          <w:rFonts w:ascii="Arial Unicode MS" w:eastAsia="Times New Roman" w:hAnsi="Arial Unicode MS" w:cs="Calibri"/>
          <w:lang w:eastAsia="en-AU"/>
        </w:rPr>
        <w:t xml:space="preserve"> </w:t>
      </w:r>
      <w:r w:rsidR="0080349E">
        <w:rPr>
          <w:rFonts w:ascii="Arial Unicode MS" w:eastAsia="Times New Roman" w:hAnsi="Arial Unicode MS" w:cs="Calibri"/>
          <w:lang w:eastAsia="en-AU"/>
        </w:rPr>
        <w:t xml:space="preserve">You can change any client details </w:t>
      </w:r>
      <w:r w:rsidR="007267D3">
        <w:rPr>
          <w:rFonts w:ascii="Arial Unicode MS" w:eastAsia="Times New Roman" w:hAnsi="Arial Unicode MS" w:cs="Calibri"/>
          <w:lang w:eastAsia="en-AU"/>
        </w:rPr>
        <w:t xml:space="preserve">by finding the client and clicking the </w:t>
      </w:r>
      <w:r w:rsidR="00A652F5">
        <w:rPr>
          <w:rFonts w:ascii="Arial Unicode MS" w:eastAsia="Times New Roman" w:hAnsi="Arial Unicode MS" w:cs="Calibri"/>
          <w:lang w:eastAsia="en-AU"/>
        </w:rPr>
        <w:t>‘E</w:t>
      </w:r>
      <w:r w:rsidR="007267D3">
        <w:rPr>
          <w:rFonts w:ascii="Arial Unicode MS" w:eastAsia="Times New Roman" w:hAnsi="Arial Unicode MS" w:cs="Calibri"/>
          <w:lang w:eastAsia="en-AU"/>
        </w:rPr>
        <w:t xml:space="preserve">dit </w:t>
      </w:r>
      <w:r w:rsidR="00A652F5">
        <w:rPr>
          <w:rFonts w:ascii="Arial Unicode MS" w:eastAsia="Times New Roman" w:hAnsi="Arial Unicode MS" w:cs="Calibri"/>
          <w:lang w:eastAsia="en-AU"/>
        </w:rPr>
        <w:t>c</w:t>
      </w:r>
      <w:r w:rsidR="007267D3">
        <w:rPr>
          <w:rFonts w:ascii="Arial Unicode MS" w:eastAsia="Times New Roman" w:hAnsi="Arial Unicode MS" w:cs="Calibri"/>
          <w:lang w:eastAsia="en-AU"/>
        </w:rPr>
        <w:t xml:space="preserve">lient </w:t>
      </w:r>
      <w:r w:rsidR="00A652F5">
        <w:rPr>
          <w:rFonts w:ascii="Arial Unicode MS" w:eastAsia="Times New Roman" w:hAnsi="Arial Unicode MS" w:cs="Calibri"/>
          <w:lang w:eastAsia="en-AU"/>
        </w:rPr>
        <w:t>d</w:t>
      </w:r>
      <w:r w:rsidR="007267D3">
        <w:rPr>
          <w:rFonts w:ascii="Arial Unicode MS" w:eastAsia="Times New Roman" w:hAnsi="Arial Unicode MS" w:cs="Calibri"/>
          <w:lang w:eastAsia="en-AU"/>
        </w:rPr>
        <w:t>etails</w:t>
      </w:r>
      <w:r w:rsidR="00A652F5">
        <w:rPr>
          <w:rFonts w:ascii="Arial Unicode MS" w:eastAsia="Times New Roman" w:hAnsi="Arial Unicode MS" w:cs="Calibri"/>
          <w:lang w:eastAsia="en-AU"/>
        </w:rPr>
        <w:t>’</w:t>
      </w:r>
      <w:r w:rsidR="007267D3">
        <w:rPr>
          <w:rFonts w:ascii="Arial Unicode MS" w:eastAsia="Times New Roman" w:hAnsi="Arial Unicode MS" w:cs="Calibri"/>
          <w:lang w:eastAsia="en-AU"/>
        </w:rPr>
        <w:t xml:space="preserve"> button at the top of the page. </w:t>
      </w:r>
      <w:r w:rsidR="00A652F5">
        <w:rPr>
          <w:rFonts w:ascii="Arial Unicode MS" w:eastAsia="Times New Roman" w:hAnsi="Arial Unicode MS" w:cs="Calibri"/>
          <w:lang w:eastAsia="en-AU"/>
        </w:rPr>
        <w:t>The ‘</w:t>
      </w:r>
      <w:hyperlink r:id="rId10" w:history="1">
        <w:r w:rsidR="00A652F5" w:rsidRPr="00A652F5">
          <w:rPr>
            <w:rStyle w:val="Hyperlink"/>
            <w:rFonts w:ascii="Arial Unicode MS" w:eastAsia="Times New Roman" w:hAnsi="Arial Unicode MS" w:cs="Calibri"/>
            <w:lang w:eastAsia="en-AU"/>
          </w:rPr>
          <w:t>Find and edit a client</w:t>
        </w:r>
      </w:hyperlink>
      <w:r w:rsidR="00A652F5">
        <w:rPr>
          <w:rFonts w:ascii="Arial Unicode MS" w:eastAsia="Times New Roman" w:hAnsi="Arial Unicode MS" w:cs="Calibri"/>
          <w:lang w:eastAsia="en-AU"/>
        </w:rPr>
        <w:t>’ task card can further assist with this.</w:t>
      </w:r>
    </w:p>
    <w:p w:rsidR="00DD14AA" w:rsidRDefault="00DD14AA" w:rsidP="00350D7C">
      <w:pPr>
        <w:rPr>
          <w:rFonts w:ascii="Arial Unicode MS" w:eastAsia="Times New Roman" w:hAnsi="Arial Unicode MS" w:cs="Calibri"/>
          <w:lang w:eastAsia="en-AU"/>
        </w:rPr>
      </w:pPr>
      <w:r w:rsidRPr="00BF6068">
        <w:rPr>
          <w:rFonts w:eastAsiaTheme="majorEastAsia" w:cstheme="majorBidi"/>
          <w:b/>
          <w:bCs/>
          <w:color w:val="215868" w:themeColor="accent5" w:themeShade="80"/>
          <w:sz w:val="28"/>
          <w:szCs w:val="26"/>
        </w:rPr>
        <w:t>Q</w:t>
      </w:r>
      <w:r>
        <w:rPr>
          <w:rFonts w:ascii="Arial Unicode MS" w:eastAsia="Times New Roman" w:hAnsi="Arial Unicode MS" w:cs="Calibri"/>
          <w:lang w:eastAsia="en-AU"/>
        </w:rPr>
        <w:t>. Can I delete a client from the Data Exchange if I have put them incorrectly?</w:t>
      </w:r>
    </w:p>
    <w:p w:rsidR="00DD14AA" w:rsidRPr="00350D7C" w:rsidRDefault="00DD14AA" w:rsidP="007267D3">
      <w:pPr>
        <w:spacing w:line="288" w:lineRule="auto"/>
        <w:ind w:left="993" w:hanging="273"/>
        <w:rPr>
          <w:rFonts w:ascii="Arial Unicode MS" w:eastAsia="Times New Roman" w:hAnsi="Arial Unicode MS" w:cs="Calibri"/>
          <w:lang w:eastAsia="en-AU"/>
        </w:rPr>
      </w:pPr>
      <w:r w:rsidRPr="00BF6068">
        <w:rPr>
          <w:rFonts w:eastAsiaTheme="majorEastAsia" w:cstheme="majorBidi"/>
          <w:b/>
          <w:bCs/>
          <w:color w:val="215868" w:themeColor="accent5" w:themeShade="80"/>
          <w:sz w:val="28"/>
          <w:szCs w:val="26"/>
        </w:rPr>
        <w:t>A.</w:t>
      </w:r>
      <w:r>
        <w:rPr>
          <w:rFonts w:ascii="Arial Unicode MS" w:eastAsia="Times New Roman" w:hAnsi="Arial Unicode MS" w:cs="Calibri"/>
          <w:lang w:eastAsia="en-AU"/>
        </w:rPr>
        <w:t xml:space="preserve"> </w:t>
      </w:r>
      <w:r w:rsidR="00D14019">
        <w:rPr>
          <w:rFonts w:ascii="Arial Unicode MS" w:eastAsia="Times New Roman" w:hAnsi="Arial Unicode MS" w:cs="Calibri"/>
          <w:lang w:eastAsia="en-AU"/>
        </w:rPr>
        <w:t xml:space="preserve">You can </w:t>
      </w:r>
      <w:r w:rsidR="00DE142D">
        <w:rPr>
          <w:rFonts w:ascii="Arial Unicode MS" w:eastAsia="Times New Roman" w:hAnsi="Arial Unicode MS" w:cs="Calibri"/>
          <w:lang w:eastAsia="en-AU"/>
        </w:rPr>
        <w:t xml:space="preserve">only </w:t>
      </w:r>
      <w:r w:rsidR="00D14019">
        <w:rPr>
          <w:rFonts w:ascii="Arial Unicode MS" w:eastAsia="Times New Roman" w:hAnsi="Arial Unicode MS" w:cs="Calibri"/>
          <w:lang w:eastAsia="en-AU"/>
        </w:rPr>
        <w:t xml:space="preserve">delete a client </w:t>
      </w:r>
      <w:r w:rsidR="00DE142D">
        <w:rPr>
          <w:rFonts w:ascii="Arial Unicode MS" w:eastAsia="Times New Roman" w:hAnsi="Arial Unicode MS" w:cs="Calibri"/>
          <w:lang w:eastAsia="en-AU"/>
        </w:rPr>
        <w:t xml:space="preserve">if the ‘Delete Client Button’ is available. This button will only be available if </w:t>
      </w:r>
      <w:r w:rsidR="00D14019">
        <w:rPr>
          <w:rFonts w:ascii="Arial Unicode MS" w:eastAsia="Times New Roman" w:hAnsi="Arial Unicode MS" w:cs="Calibri"/>
          <w:lang w:eastAsia="en-AU"/>
        </w:rPr>
        <w:t xml:space="preserve">the </w:t>
      </w:r>
      <w:r w:rsidR="00DE142D">
        <w:rPr>
          <w:rFonts w:ascii="Arial Unicode MS" w:eastAsia="Times New Roman" w:hAnsi="Arial Unicode MS" w:cs="Calibri"/>
          <w:lang w:eastAsia="en-AU"/>
        </w:rPr>
        <w:t>client is</w:t>
      </w:r>
      <w:r w:rsidR="00D32E31">
        <w:rPr>
          <w:rFonts w:ascii="Arial Unicode MS" w:eastAsia="Times New Roman" w:hAnsi="Arial Unicode MS" w:cs="Calibri"/>
          <w:lang w:eastAsia="en-AU"/>
        </w:rPr>
        <w:t xml:space="preserve"> not associated with a case or </w:t>
      </w:r>
      <w:r w:rsidR="00D14019">
        <w:rPr>
          <w:rFonts w:ascii="Arial Unicode MS" w:eastAsia="Times New Roman" w:hAnsi="Arial Unicode MS" w:cs="Calibri"/>
          <w:lang w:eastAsia="en-AU"/>
        </w:rPr>
        <w:t xml:space="preserve">have </w:t>
      </w:r>
      <w:r w:rsidR="00D32E31">
        <w:rPr>
          <w:rFonts w:ascii="Arial Unicode MS" w:eastAsia="Times New Roman" w:hAnsi="Arial Unicode MS" w:cs="Calibri"/>
          <w:lang w:eastAsia="en-AU"/>
        </w:rPr>
        <w:t>a</w:t>
      </w:r>
      <w:r w:rsidR="00D14019">
        <w:rPr>
          <w:rFonts w:ascii="Arial Unicode MS" w:eastAsia="Times New Roman" w:hAnsi="Arial Unicode MS" w:cs="Calibri"/>
          <w:lang w:eastAsia="en-AU"/>
        </w:rPr>
        <w:t xml:space="preserve"> session of service recorded</w:t>
      </w:r>
      <w:r w:rsidR="00DE142D">
        <w:rPr>
          <w:rFonts w:ascii="Arial Unicode MS" w:eastAsia="Times New Roman" w:hAnsi="Arial Unicode MS" w:cs="Calibri"/>
          <w:lang w:eastAsia="en-AU"/>
        </w:rPr>
        <w:t xml:space="preserve"> </w:t>
      </w:r>
      <w:r w:rsidR="0080349E">
        <w:rPr>
          <w:rFonts w:ascii="Arial Unicode MS" w:eastAsia="Times New Roman" w:hAnsi="Arial Unicode MS" w:cs="Calibri"/>
          <w:lang w:eastAsia="en-AU"/>
        </w:rPr>
        <w:t xml:space="preserve"> at any time in the past</w:t>
      </w:r>
      <w:r w:rsidR="00DE142D">
        <w:rPr>
          <w:rFonts w:ascii="Arial Unicode MS" w:eastAsia="Times New Roman" w:hAnsi="Arial Unicode MS" w:cs="Calibri"/>
          <w:lang w:eastAsia="en-AU"/>
        </w:rPr>
        <w:t>.</w:t>
      </w:r>
      <w:r w:rsidR="0080349E">
        <w:rPr>
          <w:rFonts w:ascii="Arial Unicode MS" w:eastAsia="Times New Roman" w:hAnsi="Arial Unicode MS" w:cs="Calibri"/>
          <w:lang w:eastAsia="en-AU"/>
        </w:rPr>
        <w:t xml:space="preserve"> </w:t>
      </w:r>
    </w:p>
    <w:p w:rsidR="00350D7C" w:rsidRDefault="00350D7C" w:rsidP="00350D7C">
      <w:pPr>
        <w:rPr>
          <w:rFonts w:ascii="Arial Unicode MS" w:eastAsia="Times New Roman" w:hAnsi="Arial Unicode MS" w:cs="Calibri"/>
          <w:lang w:eastAsia="en-AU"/>
        </w:rPr>
      </w:pPr>
      <w:r w:rsidRPr="00BF6068">
        <w:rPr>
          <w:rFonts w:eastAsiaTheme="majorEastAsia" w:cstheme="majorBidi"/>
          <w:b/>
          <w:bCs/>
          <w:color w:val="215868" w:themeColor="accent5" w:themeShade="80"/>
          <w:sz w:val="28"/>
          <w:szCs w:val="26"/>
        </w:rPr>
        <w:t>Q.</w:t>
      </w:r>
      <w:r>
        <w:rPr>
          <w:rFonts w:ascii="Arial Unicode MS" w:eastAsia="Times New Roman" w:hAnsi="Arial Unicode MS" w:cs="Calibri"/>
          <w:lang w:eastAsia="en-AU"/>
        </w:rPr>
        <w:t xml:space="preserve"> </w:t>
      </w:r>
      <w:r w:rsidRPr="00350D7C">
        <w:rPr>
          <w:rFonts w:ascii="Arial Unicode MS" w:eastAsia="Times New Roman" w:hAnsi="Arial Unicode MS" w:cs="Calibri"/>
          <w:lang w:eastAsia="en-AU"/>
        </w:rPr>
        <w:t xml:space="preserve">How/when can </w:t>
      </w:r>
      <w:r w:rsidR="00DE142D">
        <w:rPr>
          <w:rFonts w:ascii="Arial Unicode MS" w:eastAsia="Times New Roman" w:hAnsi="Arial Unicode MS" w:cs="Calibri"/>
          <w:lang w:eastAsia="en-AU"/>
        </w:rPr>
        <w:t xml:space="preserve">we </w:t>
      </w:r>
      <w:r w:rsidRPr="00350D7C">
        <w:rPr>
          <w:rFonts w:ascii="Arial Unicode MS" w:eastAsia="Times New Roman" w:hAnsi="Arial Unicode MS" w:cs="Calibri"/>
          <w:lang w:eastAsia="en-AU"/>
        </w:rPr>
        <w:t>add a support person to a session?</w:t>
      </w:r>
    </w:p>
    <w:p w:rsidR="00DD14AA" w:rsidRPr="00350D7C" w:rsidRDefault="00DD14AA" w:rsidP="007267D3">
      <w:pPr>
        <w:spacing w:line="288" w:lineRule="auto"/>
        <w:ind w:left="993" w:hanging="273"/>
        <w:rPr>
          <w:rFonts w:ascii="Arial Unicode MS" w:eastAsia="Times New Roman" w:hAnsi="Arial Unicode MS" w:cs="Calibri"/>
          <w:lang w:eastAsia="en-AU"/>
        </w:rPr>
      </w:pPr>
      <w:r w:rsidRPr="00BF6068">
        <w:rPr>
          <w:rFonts w:eastAsiaTheme="majorEastAsia" w:cstheme="majorBidi"/>
          <w:b/>
          <w:bCs/>
          <w:color w:val="215868" w:themeColor="accent5" w:themeShade="80"/>
          <w:sz w:val="28"/>
          <w:szCs w:val="26"/>
        </w:rPr>
        <w:t>A.</w:t>
      </w:r>
      <w:r>
        <w:rPr>
          <w:rFonts w:ascii="Arial Unicode MS" w:eastAsia="Times New Roman" w:hAnsi="Arial Unicode MS" w:cs="Calibri"/>
          <w:lang w:eastAsia="en-AU"/>
        </w:rPr>
        <w:t xml:space="preserve"> </w:t>
      </w:r>
      <w:r w:rsidR="007267D3">
        <w:rPr>
          <w:rFonts w:ascii="Arial Unicode MS" w:eastAsia="Times New Roman" w:hAnsi="Arial Unicode MS" w:cs="Calibri"/>
          <w:lang w:eastAsia="en-AU"/>
        </w:rPr>
        <w:t xml:space="preserve">A support person can be added to a session when the session is created or </w:t>
      </w:r>
      <w:r w:rsidR="00D32E31">
        <w:rPr>
          <w:rFonts w:ascii="Arial Unicode MS" w:eastAsia="Times New Roman" w:hAnsi="Arial Unicode MS" w:cs="Calibri"/>
          <w:lang w:eastAsia="en-AU"/>
        </w:rPr>
        <w:t xml:space="preserve">at </w:t>
      </w:r>
      <w:r w:rsidR="007267D3">
        <w:rPr>
          <w:rFonts w:ascii="Arial Unicode MS" w:eastAsia="Times New Roman" w:hAnsi="Arial Unicode MS" w:cs="Calibri"/>
          <w:lang w:eastAsia="en-AU"/>
        </w:rPr>
        <w:t xml:space="preserve">a later date. If you need to add a support person at a later date, search for the session and select the </w:t>
      </w:r>
      <w:r w:rsidR="00657F09">
        <w:rPr>
          <w:rFonts w:ascii="Arial Unicode MS" w:eastAsia="Times New Roman" w:hAnsi="Arial Unicode MS" w:cs="Calibri"/>
          <w:lang w:eastAsia="en-AU"/>
        </w:rPr>
        <w:t>‘</w:t>
      </w:r>
      <w:r w:rsidR="007267D3">
        <w:rPr>
          <w:rFonts w:ascii="Arial Unicode MS" w:eastAsia="Times New Roman" w:hAnsi="Arial Unicode MS" w:cs="Calibri"/>
          <w:lang w:eastAsia="en-AU"/>
        </w:rPr>
        <w:t>edit session details</w:t>
      </w:r>
      <w:r w:rsidR="00657F09">
        <w:rPr>
          <w:rFonts w:ascii="Arial Unicode MS" w:eastAsia="Times New Roman" w:hAnsi="Arial Unicode MS" w:cs="Calibri"/>
          <w:lang w:eastAsia="en-AU"/>
        </w:rPr>
        <w:t>’</w:t>
      </w:r>
      <w:r w:rsidR="007267D3">
        <w:rPr>
          <w:rFonts w:ascii="Arial Unicode MS" w:eastAsia="Times New Roman" w:hAnsi="Arial Unicode MS" w:cs="Calibri"/>
          <w:lang w:eastAsia="en-AU"/>
        </w:rPr>
        <w:t xml:space="preserve"> button at the top of the screen.</w:t>
      </w:r>
      <w:r w:rsidR="00657F09">
        <w:rPr>
          <w:rFonts w:ascii="Arial Unicode MS" w:eastAsia="Times New Roman" w:hAnsi="Arial Unicode MS" w:cs="Calibri"/>
          <w:lang w:eastAsia="en-AU"/>
        </w:rPr>
        <w:t xml:space="preserve"> The ‘</w:t>
      </w:r>
      <w:hyperlink r:id="rId11" w:history="1">
        <w:r w:rsidR="00657F09" w:rsidRPr="00657F09">
          <w:rPr>
            <w:rStyle w:val="Hyperlink"/>
            <w:rFonts w:ascii="Arial Unicode MS" w:eastAsia="Times New Roman" w:hAnsi="Arial Unicode MS" w:cs="Calibri"/>
            <w:lang w:eastAsia="en-AU"/>
          </w:rPr>
          <w:t>Add a session</w:t>
        </w:r>
      </w:hyperlink>
      <w:r w:rsidR="00657F09">
        <w:rPr>
          <w:rFonts w:ascii="Arial Unicode MS" w:eastAsia="Times New Roman" w:hAnsi="Arial Unicode MS" w:cs="Calibri"/>
          <w:lang w:eastAsia="en-AU"/>
        </w:rPr>
        <w:t>’ task card can further assist with this.</w:t>
      </w:r>
    </w:p>
    <w:p w:rsidR="00FD5943" w:rsidRDefault="00350D7C" w:rsidP="00FD5943">
      <w:r w:rsidRPr="00BF6068">
        <w:rPr>
          <w:rFonts w:eastAsiaTheme="majorEastAsia" w:cstheme="majorBidi"/>
          <w:b/>
          <w:bCs/>
          <w:color w:val="215868" w:themeColor="accent5" w:themeShade="80"/>
          <w:sz w:val="28"/>
          <w:szCs w:val="26"/>
        </w:rPr>
        <w:t>Q.</w:t>
      </w:r>
      <w:r>
        <w:t xml:space="preserve"> </w:t>
      </w:r>
      <w:r w:rsidR="00DD14AA">
        <w:t>C</w:t>
      </w:r>
      <w:r w:rsidR="00DD14AA" w:rsidRPr="00DD14AA">
        <w:t xml:space="preserve">an you have multiple cases for a client with </w:t>
      </w:r>
      <w:r w:rsidR="00DD14AA">
        <w:t xml:space="preserve">a </w:t>
      </w:r>
      <w:r w:rsidR="00DD14AA" w:rsidRPr="00DD14AA">
        <w:t>different session within those cases?</w:t>
      </w:r>
    </w:p>
    <w:p w:rsidR="00DD14AA" w:rsidRDefault="00DD14AA" w:rsidP="007267D3">
      <w:pPr>
        <w:spacing w:line="288" w:lineRule="auto"/>
        <w:ind w:left="993" w:hanging="273"/>
      </w:pPr>
      <w:r w:rsidRPr="00BF6068">
        <w:rPr>
          <w:rFonts w:eastAsiaTheme="majorEastAsia" w:cstheme="majorBidi"/>
          <w:b/>
          <w:bCs/>
          <w:color w:val="215868" w:themeColor="accent5" w:themeShade="80"/>
          <w:sz w:val="28"/>
          <w:szCs w:val="26"/>
        </w:rPr>
        <w:t>A.</w:t>
      </w:r>
      <w:r>
        <w:t xml:space="preserve"> </w:t>
      </w:r>
      <w:r w:rsidR="007267D3">
        <w:t xml:space="preserve">Yes, clients can be added to multiple cases to reflect different services they are receiving from your organisation. </w:t>
      </w:r>
    </w:p>
    <w:p w:rsidR="00DD14AA" w:rsidRDefault="00DD14AA" w:rsidP="00FD5943">
      <w:r w:rsidRPr="00BF6068">
        <w:rPr>
          <w:rFonts w:eastAsiaTheme="majorEastAsia" w:cstheme="majorBidi"/>
          <w:b/>
          <w:bCs/>
          <w:color w:val="215868" w:themeColor="accent5" w:themeShade="80"/>
          <w:sz w:val="28"/>
          <w:szCs w:val="26"/>
        </w:rPr>
        <w:t>Q</w:t>
      </w:r>
      <w:r>
        <w:t>. Why does “</w:t>
      </w:r>
      <w:r w:rsidR="007267D3">
        <w:t>Name Hidden”</w:t>
      </w:r>
      <w:r>
        <w:t xml:space="preserve"> appear instead of the client name?</w:t>
      </w:r>
    </w:p>
    <w:p w:rsidR="007267D3" w:rsidRDefault="00DD14AA" w:rsidP="007267D3">
      <w:pPr>
        <w:spacing w:line="288" w:lineRule="auto"/>
        <w:ind w:left="993" w:hanging="273"/>
        <w:rPr>
          <w:rFonts w:cs="Arial"/>
          <w:szCs w:val="20"/>
        </w:rPr>
      </w:pPr>
      <w:r w:rsidRPr="00BF6068">
        <w:rPr>
          <w:rFonts w:eastAsiaTheme="majorEastAsia" w:cstheme="majorBidi"/>
          <w:b/>
          <w:bCs/>
          <w:color w:val="215868" w:themeColor="accent5" w:themeShade="80"/>
          <w:sz w:val="28"/>
          <w:szCs w:val="26"/>
        </w:rPr>
        <w:t>A.</w:t>
      </w:r>
      <w:r w:rsidR="007267D3">
        <w:t xml:space="preserve"> </w:t>
      </w:r>
      <w:r w:rsidR="00DE142D">
        <w:t>“</w:t>
      </w:r>
      <w:r w:rsidR="007267D3">
        <w:t>Name Hidden</w:t>
      </w:r>
      <w:r w:rsidR="00DE142D">
        <w:t>”</w:t>
      </w:r>
      <w:r w:rsidR="007267D3">
        <w:t xml:space="preserve"> means that the client has not consented to their personal information being stored on the Data Exchange. </w:t>
      </w:r>
      <w:r w:rsidR="007267D3" w:rsidRPr="00293BB4">
        <w:rPr>
          <w:rFonts w:cs="Arial"/>
          <w:szCs w:val="20"/>
        </w:rPr>
        <w:t xml:space="preserve">DSS will not store the client’s name or pseudonym, and/or street-level address on the Data Exchange unless this consent </w:t>
      </w:r>
      <w:r w:rsidR="007267D3">
        <w:rPr>
          <w:rFonts w:cs="Arial"/>
          <w:szCs w:val="20"/>
        </w:rPr>
        <w:t>is</w:t>
      </w:r>
      <w:r w:rsidR="007267D3" w:rsidRPr="00293BB4">
        <w:rPr>
          <w:rFonts w:cs="Arial"/>
          <w:szCs w:val="20"/>
        </w:rPr>
        <w:t xml:space="preserve"> obtained.</w:t>
      </w:r>
      <w:r w:rsidR="003370CB">
        <w:rPr>
          <w:rFonts w:cs="Arial"/>
          <w:szCs w:val="20"/>
        </w:rPr>
        <w:t xml:space="preserve"> Please refer to section 4.2.3 of the </w:t>
      </w:r>
      <w:hyperlink r:id="rId12" w:history="1">
        <w:r w:rsidR="00657F09">
          <w:rPr>
            <w:rStyle w:val="Hyperlink"/>
            <w:rFonts w:cs="Arial"/>
            <w:szCs w:val="20"/>
          </w:rPr>
          <w:t>Data Exchange P</w:t>
        </w:r>
        <w:r w:rsidR="003370CB" w:rsidRPr="00657F09">
          <w:rPr>
            <w:rStyle w:val="Hyperlink"/>
            <w:rFonts w:cs="Arial"/>
            <w:szCs w:val="20"/>
          </w:rPr>
          <w:t>rotocols</w:t>
        </w:r>
      </w:hyperlink>
      <w:r w:rsidR="003370CB">
        <w:rPr>
          <w:rFonts w:cs="Arial"/>
          <w:szCs w:val="20"/>
        </w:rPr>
        <w:t xml:space="preserve"> for </w:t>
      </w:r>
      <w:r w:rsidR="00657F09">
        <w:rPr>
          <w:rFonts w:cs="Arial"/>
          <w:szCs w:val="20"/>
        </w:rPr>
        <w:t xml:space="preserve">further </w:t>
      </w:r>
      <w:r w:rsidR="003370CB">
        <w:rPr>
          <w:rFonts w:cs="Arial"/>
          <w:szCs w:val="20"/>
        </w:rPr>
        <w:t xml:space="preserve">information. </w:t>
      </w:r>
    </w:p>
    <w:p w:rsidR="00A502F0" w:rsidRPr="00293BB4" w:rsidRDefault="00A502F0" w:rsidP="007267D3">
      <w:pPr>
        <w:spacing w:line="288" w:lineRule="auto"/>
        <w:ind w:left="993" w:hanging="273"/>
        <w:rPr>
          <w:rFonts w:cs="Arial"/>
          <w:szCs w:val="20"/>
        </w:rPr>
      </w:pPr>
    </w:p>
    <w:p w:rsidR="00DD14AA" w:rsidRPr="00DD14AA" w:rsidRDefault="00DD14AA" w:rsidP="00DD14AA">
      <w:pPr>
        <w:rPr>
          <w:rFonts w:ascii="Arial Unicode MS" w:eastAsia="Times New Roman" w:hAnsi="Arial Unicode MS" w:cs="Calibri"/>
          <w:lang w:eastAsia="en-AU"/>
        </w:rPr>
      </w:pPr>
      <w:r w:rsidRPr="00BF6068">
        <w:rPr>
          <w:rFonts w:eastAsiaTheme="majorEastAsia" w:cstheme="majorBidi"/>
          <w:b/>
          <w:bCs/>
          <w:color w:val="215868" w:themeColor="accent5" w:themeShade="80"/>
          <w:sz w:val="28"/>
          <w:szCs w:val="26"/>
        </w:rPr>
        <w:t>Q.</w:t>
      </w:r>
      <w:r>
        <w:t xml:space="preserve"> </w:t>
      </w:r>
      <w:r w:rsidRPr="00DD14AA">
        <w:rPr>
          <w:rFonts w:ascii="Arial Unicode MS" w:eastAsia="Times New Roman" w:hAnsi="Arial Unicode MS" w:cs="Calibri"/>
          <w:lang w:eastAsia="en-AU"/>
        </w:rPr>
        <w:t>If a client has multiple problems, should I set up multiple cases for the client?</w:t>
      </w:r>
    </w:p>
    <w:p w:rsidR="00DD14AA" w:rsidRDefault="00DD14AA" w:rsidP="007267D3">
      <w:pPr>
        <w:spacing w:line="288" w:lineRule="auto"/>
        <w:ind w:left="993" w:hanging="273"/>
      </w:pPr>
      <w:r w:rsidRPr="00BF6068">
        <w:rPr>
          <w:rFonts w:eastAsiaTheme="majorEastAsia" w:cstheme="majorBidi"/>
          <w:b/>
          <w:bCs/>
          <w:color w:val="215868" w:themeColor="accent5" w:themeShade="80"/>
          <w:sz w:val="28"/>
          <w:szCs w:val="26"/>
        </w:rPr>
        <w:t>A.</w:t>
      </w:r>
      <w:r>
        <w:t xml:space="preserve"> </w:t>
      </w:r>
      <w:r w:rsidR="00F60B10">
        <w:t xml:space="preserve">If the client is attending your service to receive one type of assistance for multiple problems, you would establish </w:t>
      </w:r>
      <w:r w:rsidR="00DE142D">
        <w:t xml:space="preserve">only the </w:t>
      </w:r>
      <w:r w:rsidR="00F60B10">
        <w:t xml:space="preserve">one case for the client.  </w:t>
      </w:r>
    </w:p>
    <w:p w:rsidR="00DD14AA" w:rsidRDefault="00DD14AA" w:rsidP="00D14724">
      <w:pPr>
        <w:spacing w:after="0" w:line="240" w:lineRule="auto"/>
        <w:ind w:left="426" w:hanging="426"/>
        <w:rPr>
          <w:rFonts w:ascii="Arial Unicode MS" w:eastAsia="Times New Roman" w:hAnsi="Arial Unicode MS" w:cs="Calibri"/>
          <w:lang w:eastAsia="en-AU"/>
        </w:rPr>
      </w:pPr>
      <w:r w:rsidRPr="00BF6068">
        <w:rPr>
          <w:rFonts w:eastAsiaTheme="majorEastAsia" w:cstheme="majorBidi"/>
          <w:b/>
          <w:bCs/>
          <w:color w:val="215868" w:themeColor="accent5" w:themeShade="80"/>
          <w:sz w:val="28"/>
          <w:szCs w:val="26"/>
        </w:rPr>
        <w:t>Q.</w:t>
      </w:r>
      <w:r>
        <w:rPr>
          <w:rFonts w:ascii="Arial Unicode MS" w:eastAsia="Times New Roman" w:hAnsi="Arial Unicode MS" w:cs="Calibri"/>
          <w:lang w:eastAsia="en-AU"/>
        </w:rPr>
        <w:t xml:space="preserve"> W</w:t>
      </w:r>
      <w:r w:rsidRPr="00DD14AA">
        <w:rPr>
          <w:rFonts w:ascii="Arial Unicode MS" w:eastAsia="Times New Roman" w:hAnsi="Arial Unicode MS" w:cs="Calibri"/>
          <w:lang w:eastAsia="en-AU"/>
        </w:rPr>
        <w:t>hen I have a community event, some of the attendees are no</w:t>
      </w:r>
      <w:r w:rsidR="00D14724">
        <w:rPr>
          <w:rFonts w:ascii="Arial Unicode MS" w:eastAsia="Times New Roman" w:hAnsi="Arial Unicode MS" w:cs="Calibri"/>
          <w:lang w:eastAsia="en-AU"/>
        </w:rPr>
        <w:t xml:space="preserve">t my clients, do they go to the </w:t>
      </w:r>
      <w:r w:rsidRPr="00DD14AA">
        <w:rPr>
          <w:rFonts w:ascii="Arial Unicode MS" w:eastAsia="Times New Roman" w:hAnsi="Arial Unicode MS" w:cs="Calibri"/>
          <w:lang w:eastAsia="en-AU"/>
        </w:rPr>
        <w:t>unidentified clients?</w:t>
      </w:r>
    </w:p>
    <w:p w:rsidR="00F60B10" w:rsidRPr="00DD14AA" w:rsidRDefault="00F60B10" w:rsidP="00DD14AA">
      <w:pPr>
        <w:spacing w:after="0" w:line="240" w:lineRule="auto"/>
        <w:rPr>
          <w:rFonts w:ascii="Arial Unicode MS" w:eastAsia="Times New Roman" w:hAnsi="Arial Unicode MS" w:cs="Calibri"/>
          <w:lang w:eastAsia="en-AU"/>
        </w:rPr>
      </w:pPr>
    </w:p>
    <w:p w:rsidR="00DD14AA" w:rsidRDefault="00DD14AA" w:rsidP="007267D3">
      <w:pPr>
        <w:spacing w:line="288" w:lineRule="auto"/>
        <w:ind w:left="993" w:hanging="273"/>
      </w:pPr>
      <w:r w:rsidRPr="00BF6068">
        <w:rPr>
          <w:rFonts w:eastAsiaTheme="majorEastAsia" w:cstheme="majorBidi"/>
          <w:b/>
          <w:bCs/>
          <w:color w:val="215868" w:themeColor="accent5" w:themeShade="80"/>
          <w:sz w:val="28"/>
          <w:szCs w:val="26"/>
        </w:rPr>
        <w:t>A.</w:t>
      </w:r>
      <w:r>
        <w:t xml:space="preserve"> </w:t>
      </w:r>
      <w:r w:rsidR="00F60B10">
        <w:t>Yes, you can count people who have not been entered into the Data Exchange for your organisation as unidentified client</w:t>
      </w:r>
      <w:r w:rsidR="003370CB">
        <w:t>s</w:t>
      </w:r>
      <w:r w:rsidR="00F60B10">
        <w:t xml:space="preserve">. </w:t>
      </w:r>
    </w:p>
    <w:p w:rsidR="0077244E" w:rsidRDefault="0077244E" w:rsidP="00FD5943">
      <w:r w:rsidRPr="00BF6068">
        <w:rPr>
          <w:rFonts w:eastAsiaTheme="majorEastAsia" w:cstheme="majorBidi"/>
          <w:b/>
          <w:bCs/>
          <w:color w:val="215868" w:themeColor="accent5" w:themeShade="80"/>
          <w:sz w:val="28"/>
          <w:szCs w:val="26"/>
        </w:rPr>
        <w:t>Q.</w:t>
      </w:r>
      <w:r>
        <w:t xml:space="preserve"> What can I use for the Client, Session or Case ID?</w:t>
      </w:r>
    </w:p>
    <w:p w:rsidR="003370CB" w:rsidRDefault="0077244E" w:rsidP="007267D3">
      <w:pPr>
        <w:spacing w:line="288" w:lineRule="auto"/>
        <w:ind w:left="993" w:hanging="273"/>
      </w:pPr>
      <w:r w:rsidRPr="00BF6068">
        <w:rPr>
          <w:rFonts w:eastAsiaTheme="majorEastAsia" w:cstheme="majorBidi"/>
          <w:b/>
          <w:bCs/>
          <w:color w:val="215868" w:themeColor="accent5" w:themeShade="80"/>
          <w:sz w:val="28"/>
          <w:szCs w:val="26"/>
        </w:rPr>
        <w:t>A.</w:t>
      </w:r>
      <w:r>
        <w:t xml:space="preserve"> </w:t>
      </w:r>
      <w:r w:rsidR="003370CB">
        <w:t xml:space="preserve">Client, Case and Session ID must not contain any personal information. </w:t>
      </w:r>
      <w:r w:rsidR="003370CB" w:rsidRPr="003370CB">
        <w:t>The client ID is made up of a series of alpha numeric text, either input by the organisation or created by the Data Exchange web-based portal.</w:t>
      </w:r>
      <w:r w:rsidR="003370CB">
        <w:t xml:space="preserve"> Both Case ID and Session ID follow the same business rules as Client ID.</w:t>
      </w:r>
    </w:p>
    <w:p w:rsidR="0077244E" w:rsidRDefault="003370CB" w:rsidP="003370CB">
      <w:pPr>
        <w:spacing w:line="288" w:lineRule="auto"/>
        <w:ind w:left="993"/>
      </w:pPr>
      <w:r>
        <w:t xml:space="preserve">Please refer to section 4.7.2 of the </w:t>
      </w:r>
      <w:hyperlink r:id="rId13" w:history="1">
        <w:r w:rsidRPr="00657F09">
          <w:rPr>
            <w:rStyle w:val="Hyperlink"/>
          </w:rPr>
          <w:t>Data Exchange Protocols</w:t>
        </w:r>
      </w:hyperlink>
      <w:r>
        <w:t xml:space="preserve"> for further information on Client ID. </w:t>
      </w:r>
    </w:p>
    <w:p w:rsidR="00FD5943" w:rsidRDefault="00FD5943" w:rsidP="00116208">
      <w:pPr>
        <w:pStyle w:val="Heading2"/>
      </w:pPr>
      <w:r w:rsidRPr="00FD5943">
        <w:rPr>
          <w:rStyle w:val="Heading3Char"/>
          <w:b/>
          <w:bCs/>
        </w:rPr>
        <w:t>Outcome</w:t>
      </w:r>
      <w:r w:rsidRPr="00FD5943">
        <w:t>s</w:t>
      </w:r>
    </w:p>
    <w:p w:rsidR="00A81D4B" w:rsidRPr="00A81D4B" w:rsidRDefault="00A81D4B" w:rsidP="00A81D4B">
      <w:r>
        <w:t xml:space="preserve">For detailed information about </w:t>
      </w:r>
      <w:r w:rsidR="00243FA2">
        <w:t>r</w:t>
      </w:r>
      <w:r>
        <w:t xml:space="preserve">ecording client and community SCORE, refer to Section 7 of the </w:t>
      </w:r>
      <w:hyperlink r:id="rId14" w:history="1">
        <w:r w:rsidRPr="00A502F0">
          <w:rPr>
            <w:rStyle w:val="Hyperlink"/>
          </w:rPr>
          <w:t xml:space="preserve">Data Exchange </w:t>
        </w:r>
        <w:r w:rsidR="00657F09">
          <w:rPr>
            <w:rStyle w:val="Hyperlink"/>
          </w:rPr>
          <w:t>P</w:t>
        </w:r>
        <w:r w:rsidRPr="00A502F0">
          <w:rPr>
            <w:rStyle w:val="Hyperlink"/>
          </w:rPr>
          <w:t>rotocols</w:t>
        </w:r>
      </w:hyperlink>
      <w:r>
        <w:t>.</w:t>
      </w:r>
    </w:p>
    <w:p w:rsidR="0077244E" w:rsidRDefault="00350D7C" w:rsidP="0077244E">
      <w:r w:rsidRPr="00BF6068">
        <w:rPr>
          <w:rFonts w:eastAsiaTheme="majorEastAsia" w:cstheme="majorBidi"/>
          <w:b/>
          <w:bCs/>
          <w:color w:val="215868" w:themeColor="accent5" w:themeShade="80"/>
          <w:sz w:val="28"/>
          <w:szCs w:val="26"/>
        </w:rPr>
        <w:t>Q.</w:t>
      </w:r>
      <w:r w:rsidR="0077244E">
        <w:t xml:space="preserve"> </w:t>
      </w:r>
      <w:r w:rsidR="00657F09">
        <w:t>W</w:t>
      </w:r>
      <w:r w:rsidR="0077244E">
        <w:t>hat if the list of circumstance does not have what you are looking for?</w:t>
      </w:r>
    </w:p>
    <w:p w:rsidR="0077244E" w:rsidRDefault="0077244E" w:rsidP="007267D3">
      <w:pPr>
        <w:spacing w:line="288" w:lineRule="auto"/>
        <w:ind w:left="993" w:hanging="273"/>
      </w:pPr>
      <w:r w:rsidRPr="00BF6068">
        <w:rPr>
          <w:rFonts w:eastAsiaTheme="majorEastAsia" w:cstheme="majorBidi"/>
          <w:b/>
          <w:bCs/>
          <w:color w:val="215868" w:themeColor="accent5" w:themeShade="80"/>
          <w:sz w:val="28"/>
          <w:szCs w:val="26"/>
        </w:rPr>
        <w:t>A.</w:t>
      </w:r>
      <w:r>
        <w:t xml:space="preserve"> </w:t>
      </w:r>
      <w:r w:rsidR="00A81D4B" w:rsidRPr="00293BB4">
        <w:rPr>
          <w:rFonts w:cs="Arial"/>
          <w:szCs w:val="20"/>
        </w:rPr>
        <w:t xml:space="preserve">The type of outcome domain that </w:t>
      </w:r>
      <w:r w:rsidR="00A81D4B">
        <w:rPr>
          <w:rFonts w:cs="Arial"/>
          <w:szCs w:val="20"/>
        </w:rPr>
        <w:t>is</w:t>
      </w:r>
      <w:r w:rsidR="00A81D4B" w:rsidRPr="00293BB4">
        <w:rPr>
          <w:rFonts w:cs="Arial"/>
          <w:szCs w:val="20"/>
        </w:rPr>
        <w:t xml:space="preserve"> relevant to each client depends on the context of the funded activity being delivered.</w:t>
      </w:r>
      <w:r w:rsidR="00A81D4B">
        <w:rPr>
          <w:rFonts w:cs="Arial"/>
          <w:szCs w:val="20"/>
        </w:rPr>
        <w:t xml:space="preserve"> Refer to section 7.2.1 of the </w:t>
      </w:r>
      <w:r w:rsidR="00657F09">
        <w:rPr>
          <w:rFonts w:cs="Arial"/>
          <w:szCs w:val="20"/>
        </w:rPr>
        <w:t>Data Exchange P</w:t>
      </w:r>
      <w:r w:rsidR="00A81D4B">
        <w:rPr>
          <w:rFonts w:cs="Arial"/>
          <w:szCs w:val="20"/>
        </w:rPr>
        <w:t xml:space="preserve">rotocols for </w:t>
      </w:r>
      <w:r w:rsidR="00657F09">
        <w:rPr>
          <w:rFonts w:cs="Arial"/>
          <w:szCs w:val="20"/>
        </w:rPr>
        <w:t>further information</w:t>
      </w:r>
      <w:r w:rsidR="00A81D4B">
        <w:rPr>
          <w:rFonts w:cs="Arial"/>
          <w:szCs w:val="20"/>
        </w:rPr>
        <w:t xml:space="preserve"> on circumstance SCOREs. </w:t>
      </w:r>
    </w:p>
    <w:p w:rsidR="00350D7C" w:rsidRDefault="0077244E" w:rsidP="0077244E">
      <w:r w:rsidRPr="00BF6068">
        <w:rPr>
          <w:rFonts w:eastAsiaTheme="majorEastAsia" w:cstheme="majorBidi"/>
          <w:b/>
          <w:bCs/>
          <w:color w:val="215868" w:themeColor="accent5" w:themeShade="80"/>
          <w:sz w:val="28"/>
          <w:szCs w:val="26"/>
        </w:rPr>
        <w:t>Q.</w:t>
      </w:r>
      <w:r>
        <w:t xml:space="preserve"> Can you add Community </w:t>
      </w:r>
      <w:r w:rsidR="00AF59D1">
        <w:t xml:space="preserve">SCOREs </w:t>
      </w:r>
      <w:r>
        <w:t>for classes?</w:t>
      </w:r>
    </w:p>
    <w:p w:rsidR="0077244E" w:rsidRDefault="0077244E" w:rsidP="007267D3">
      <w:pPr>
        <w:spacing w:line="288" w:lineRule="auto"/>
        <w:ind w:left="993" w:hanging="273"/>
      </w:pPr>
      <w:r w:rsidRPr="00BF6068">
        <w:rPr>
          <w:rFonts w:eastAsiaTheme="majorEastAsia" w:cstheme="majorBidi"/>
          <w:b/>
          <w:bCs/>
          <w:color w:val="215868" w:themeColor="accent5" w:themeShade="80"/>
          <w:sz w:val="28"/>
          <w:szCs w:val="26"/>
        </w:rPr>
        <w:t>A.</w:t>
      </w:r>
      <w:r>
        <w:t xml:space="preserve"> </w:t>
      </w:r>
      <w:r w:rsidR="00A81D4B">
        <w:t xml:space="preserve">Yes, </w:t>
      </w:r>
      <w:r w:rsidR="00A652F5">
        <w:t>y</w:t>
      </w:r>
      <w:r w:rsidR="00A81D4B">
        <w:t xml:space="preserve">ou can add a Community SCORE for any group of clients once the session of service has been recorded. </w:t>
      </w:r>
      <w:r w:rsidR="00AF59D1">
        <w:t>The ‘</w:t>
      </w:r>
      <w:hyperlink r:id="rId15" w:history="1">
        <w:r w:rsidR="00AF59D1" w:rsidRPr="00AF59D1">
          <w:rPr>
            <w:rStyle w:val="Hyperlink"/>
          </w:rPr>
          <w:t>Community Outcomes (SCORE) fact sheet</w:t>
        </w:r>
      </w:hyperlink>
      <w:r w:rsidR="00AF59D1">
        <w:t>’ provides further information.</w:t>
      </w:r>
    </w:p>
    <w:p w:rsidR="0077244E" w:rsidRDefault="0077244E" w:rsidP="0077244E">
      <w:r w:rsidRPr="00BF6068">
        <w:rPr>
          <w:rFonts w:eastAsiaTheme="majorEastAsia" w:cstheme="majorBidi"/>
          <w:b/>
          <w:bCs/>
          <w:color w:val="215868" w:themeColor="accent5" w:themeShade="80"/>
          <w:sz w:val="28"/>
          <w:szCs w:val="26"/>
        </w:rPr>
        <w:t>Q.</w:t>
      </w:r>
      <w:r>
        <w:t xml:space="preserve"> W</w:t>
      </w:r>
      <w:r w:rsidRPr="0077244E">
        <w:t xml:space="preserve">e were recently advised by our grant manager that we are not supposed to use Community </w:t>
      </w:r>
      <w:r w:rsidR="00AF59D1">
        <w:t>SCORE’s</w:t>
      </w:r>
      <w:r w:rsidR="00AF59D1" w:rsidRPr="0077244E">
        <w:t xml:space="preserve"> </w:t>
      </w:r>
      <w:r w:rsidRPr="0077244E">
        <w:t>for SETS C</w:t>
      </w:r>
      <w:r>
        <w:t xml:space="preserve">lient Services group programs. </w:t>
      </w:r>
      <w:r w:rsidRPr="0077244E">
        <w:t>Can you please confirm?</w:t>
      </w:r>
    </w:p>
    <w:p w:rsidR="0077244E" w:rsidRDefault="0077244E" w:rsidP="007267D3">
      <w:pPr>
        <w:spacing w:line="288" w:lineRule="auto"/>
        <w:ind w:left="993" w:hanging="273"/>
      </w:pPr>
      <w:r w:rsidRPr="00BF6068">
        <w:rPr>
          <w:rFonts w:eastAsiaTheme="majorEastAsia" w:cstheme="majorBidi"/>
          <w:b/>
          <w:bCs/>
          <w:color w:val="215868" w:themeColor="accent5" w:themeShade="80"/>
          <w:sz w:val="28"/>
          <w:szCs w:val="26"/>
        </w:rPr>
        <w:t>A.</w:t>
      </w:r>
      <w:r>
        <w:t xml:space="preserve"> This advice is correct. Community </w:t>
      </w:r>
      <w:r w:rsidR="00AF59D1">
        <w:t xml:space="preserve">SCORE’s </w:t>
      </w:r>
      <w:r>
        <w:t>are only applicable for SETS</w:t>
      </w:r>
      <w:r w:rsidR="00AF59D1">
        <w:t xml:space="preserve"> –</w:t>
      </w:r>
      <w:r>
        <w:t xml:space="preserve"> Community Capacity Building, not SETS</w:t>
      </w:r>
      <w:r w:rsidR="00AF59D1">
        <w:t xml:space="preserve"> – </w:t>
      </w:r>
      <w:r>
        <w:t xml:space="preserve">Client Services. </w:t>
      </w:r>
    </w:p>
    <w:p w:rsidR="0077244E" w:rsidRDefault="0077244E" w:rsidP="007267D3">
      <w:pPr>
        <w:ind w:left="993"/>
      </w:pPr>
      <w:r>
        <w:t>This reflects the nature of the service delivery and intent of the two components of the program. The objective of the SETS</w:t>
      </w:r>
      <w:r w:rsidR="00AF59D1">
        <w:t xml:space="preserve"> – </w:t>
      </w:r>
      <w:r>
        <w:t xml:space="preserve">Client Services is to equip clients with the knowledge and skills to </w:t>
      </w:r>
      <w:r>
        <w:lastRenderedPageBreak/>
        <w:t xml:space="preserve">identify, understand and take action to address their settlement needs, as such the SCORE data or outcomes is consistent with the circumstances and goals of the individual. </w:t>
      </w:r>
    </w:p>
    <w:p w:rsidR="0077244E" w:rsidRDefault="0077244E" w:rsidP="007267D3">
      <w:pPr>
        <w:ind w:left="993"/>
      </w:pPr>
      <w:r>
        <w:t>The objective of the SETS</w:t>
      </w:r>
      <w:r w:rsidR="00AF59D1">
        <w:t xml:space="preserve"> – </w:t>
      </w:r>
      <w:r>
        <w:t xml:space="preserve">Community Capacity Building is to build the capacity or capability of new and emerging community groups and organisations to support their specific communities, hence the Community </w:t>
      </w:r>
      <w:r w:rsidR="00AF59D1">
        <w:t xml:space="preserve">SCORE </w:t>
      </w:r>
      <w:r>
        <w:t xml:space="preserve">is applicable for assessing the outcomes of some services related to this objective. </w:t>
      </w:r>
    </w:p>
    <w:p w:rsidR="0077244E" w:rsidRDefault="0077244E" w:rsidP="007267D3">
      <w:pPr>
        <w:ind w:left="993"/>
      </w:pPr>
      <w:r>
        <w:t xml:space="preserve">See the </w:t>
      </w:r>
      <w:hyperlink r:id="rId16" w:history="1">
        <w:r w:rsidRPr="00AF59D1">
          <w:rPr>
            <w:rStyle w:val="Hyperlink"/>
          </w:rPr>
          <w:t>Program Specific Guidance for Commonwealth Agencies in the Data Exchange</w:t>
        </w:r>
      </w:hyperlink>
      <w:r>
        <w:t xml:space="preserve"> for further information</w:t>
      </w:r>
      <w:r w:rsidR="00AF59D1">
        <w:t>.</w:t>
      </w:r>
    </w:p>
    <w:p w:rsidR="0077244E" w:rsidRDefault="0077244E" w:rsidP="00D14724">
      <w:pPr>
        <w:ind w:left="284" w:hanging="284"/>
      </w:pPr>
      <w:r w:rsidRPr="00BF6068">
        <w:rPr>
          <w:rFonts w:eastAsiaTheme="majorEastAsia" w:cstheme="majorBidi"/>
          <w:b/>
          <w:bCs/>
          <w:color w:val="215868" w:themeColor="accent5" w:themeShade="80"/>
          <w:sz w:val="28"/>
          <w:szCs w:val="26"/>
        </w:rPr>
        <w:t>Q.</w:t>
      </w:r>
      <w:r>
        <w:t xml:space="preserve"> </w:t>
      </w:r>
      <w:r w:rsidRPr="0077244E">
        <w:t xml:space="preserve">If a participant </w:t>
      </w:r>
      <w:r w:rsidR="00D32E31">
        <w:t xml:space="preserve">(client) </w:t>
      </w:r>
      <w:r w:rsidRPr="0077244E">
        <w:t xml:space="preserve">only comes and sees </w:t>
      </w:r>
      <w:r w:rsidR="001902BE">
        <w:t xml:space="preserve">the organisation </w:t>
      </w:r>
      <w:r w:rsidRPr="0077244E">
        <w:t>once in the reporting period.  This would mean that you would not be able to score them?</w:t>
      </w:r>
    </w:p>
    <w:p w:rsidR="0077244E" w:rsidRDefault="0077244E" w:rsidP="00A81D4B">
      <w:pPr>
        <w:ind w:left="993" w:hanging="273"/>
      </w:pPr>
      <w:r w:rsidRPr="00BF6068">
        <w:rPr>
          <w:rFonts w:eastAsiaTheme="majorEastAsia" w:cstheme="majorBidi"/>
          <w:b/>
          <w:bCs/>
          <w:color w:val="215868" w:themeColor="accent5" w:themeShade="80"/>
          <w:sz w:val="28"/>
          <w:szCs w:val="26"/>
        </w:rPr>
        <w:t>A.</w:t>
      </w:r>
      <w:r>
        <w:t xml:space="preserve"> </w:t>
      </w:r>
      <w:r w:rsidR="00A81D4B">
        <w:t xml:space="preserve">No, an outcome SCORE can be recorded at any session of service provided to the client. This will help build a picture of the outcomes for the client over different reporting periods. The reports are able to display the outcomes recorded for clients over all reporting periods. </w:t>
      </w:r>
    </w:p>
    <w:p w:rsidR="00FD5943" w:rsidRPr="00FD5943" w:rsidRDefault="00FD5943" w:rsidP="00116208">
      <w:pPr>
        <w:pStyle w:val="Heading2"/>
      </w:pPr>
      <w:r>
        <w:t>Reports</w:t>
      </w:r>
    </w:p>
    <w:p w:rsidR="006911BC" w:rsidRPr="00243FA2" w:rsidRDefault="00243FA2" w:rsidP="00243FA2">
      <w:r>
        <w:t xml:space="preserve">For help navigating and filtering the reports refer to the </w:t>
      </w:r>
      <w:hyperlink r:id="rId17" w:history="1">
        <w:r w:rsidRPr="00243FA2">
          <w:rPr>
            <w:rStyle w:val="Hyperlink"/>
          </w:rPr>
          <w:t>Training task cards</w:t>
        </w:r>
      </w:hyperlink>
      <w:r>
        <w:t xml:space="preserve"> section of the Data Exchange website. </w:t>
      </w:r>
    </w:p>
    <w:p w:rsidR="006911BC" w:rsidRDefault="006911BC" w:rsidP="006911BC">
      <w:pPr>
        <w:spacing w:after="0" w:line="240" w:lineRule="auto"/>
        <w:rPr>
          <w:rFonts w:ascii="Arial Unicode MS" w:eastAsia="Times New Roman" w:hAnsi="Arial Unicode MS" w:cs="Calibri"/>
          <w:lang w:eastAsia="en-AU"/>
        </w:rPr>
      </w:pPr>
      <w:r w:rsidRPr="00BF6068">
        <w:rPr>
          <w:rFonts w:eastAsiaTheme="majorEastAsia" w:cstheme="majorBidi"/>
          <w:b/>
          <w:bCs/>
          <w:color w:val="215868" w:themeColor="accent5" w:themeShade="80"/>
          <w:sz w:val="28"/>
          <w:szCs w:val="26"/>
        </w:rPr>
        <w:t>Q.</w:t>
      </w:r>
      <w:r>
        <w:rPr>
          <w:rFonts w:ascii="Arial Unicode MS" w:eastAsia="Times New Roman" w:hAnsi="Arial Unicode MS" w:cs="Calibri"/>
          <w:lang w:eastAsia="en-AU"/>
        </w:rPr>
        <w:t xml:space="preserve"> C</w:t>
      </w:r>
      <w:r w:rsidRPr="005316B5">
        <w:rPr>
          <w:rFonts w:ascii="Arial Unicode MS" w:eastAsia="Times New Roman" w:hAnsi="Arial Unicode MS" w:cs="Calibri"/>
          <w:lang w:eastAsia="en-AU"/>
        </w:rPr>
        <w:t xml:space="preserve">an a report show assessment when the previous </w:t>
      </w:r>
      <w:r>
        <w:rPr>
          <w:rFonts w:ascii="Arial Unicode MS" w:eastAsia="Times New Roman" w:hAnsi="Arial Unicode MS" w:cs="Calibri"/>
          <w:lang w:eastAsia="en-AU"/>
        </w:rPr>
        <w:t>SCORE</w:t>
      </w:r>
      <w:r w:rsidRPr="005316B5">
        <w:rPr>
          <w:rFonts w:ascii="Arial Unicode MS" w:eastAsia="Times New Roman" w:hAnsi="Arial Unicode MS" w:cs="Calibri"/>
          <w:lang w:eastAsia="en-AU"/>
        </w:rPr>
        <w:t xml:space="preserve"> was in a prior session</w:t>
      </w:r>
      <w:r>
        <w:rPr>
          <w:rFonts w:ascii="Arial Unicode MS" w:eastAsia="Times New Roman" w:hAnsi="Arial Unicode MS" w:cs="Calibri"/>
          <w:lang w:eastAsia="en-AU"/>
        </w:rPr>
        <w:t>?</w:t>
      </w:r>
    </w:p>
    <w:p w:rsidR="006911BC" w:rsidRDefault="006911BC" w:rsidP="006911BC">
      <w:pPr>
        <w:spacing w:after="0" w:line="240" w:lineRule="auto"/>
        <w:rPr>
          <w:rFonts w:ascii="Arial Unicode MS" w:eastAsia="Times New Roman" w:hAnsi="Arial Unicode MS" w:cs="Calibri"/>
          <w:lang w:eastAsia="en-AU"/>
        </w:rPr>
      </w:pPr>
    </w:p>
    <w:p w:rsidR="006911BC" w:rsidRDefault="006911BC" w:rsidP="006911BC">
      <w:pPr>
        <w:spacing w:after="0" w:line="240" w:lineRule="auto"/>
        <w:ind w:left="993" w:hanging="273"/>
        <w:rPr>
          <w:rFonts w:ascii="Arial Unicode MS" w:eastAsia="Times New Roman" w:hAnsi="Arial Unicode MS" w:cs="Calibri"/>
          <w:lang w:eastAsia="en-AU"/>
        </w:rPr>
      </w:pPr>
      <w:r w:rsidRPr="00BF6068">
        <w:rPr>
          <w:rFonts w:eastAsiaTheme="majorEastAsia" w:cstheme="majorBidi"/>
          <w:b/>
          <w:bCs/>
          <w:color w:val="215868" w:themeColor="accent5" w:themeShade="80"/>
          <w:sz w:val="28"/>
          <w:szCs w:val="26"/>
        </w:rPr>
        <w:t>A.</w:t>
      </w:r>
      <w:r>
        <w:rPr>
          <w:rFonts w:ascii="Arial Unicode MS" w:eastAsia="Times New Roman" w:hAnsi="Arial Unicode MS" w:cs="Calibri"/>
          <w:lang w:eastAsia="en-AU"/>
        </w:rPr>
        <w:t xml:space="preserve"> Yes. The </w:t>
      </w:r>
      <w:r w:rsidR="00F703E2">
        <w:rPr>
          <w:rFonts w:ascii="Arial Unicode MS" w:eastAsia="Times New Roman" w:hAnsi="Arial Unicode MS" w:cs="Calibri"/>
          <w:lang w:eastAsia="en-AU"/>
        </w:rPr>
        <w:t>‘</w:t>
      </w:r>
      <w:r>
        <w:rPr>
          <w:rFonts w:ascii="Arial Unicode MS" w:eastAsia="Times New Roman" w:hAnsi="Arial Unicode MS" w:cs="Calibri"/>
          <w:lang w:eastAsia="en-AU"/>
        </w:rPr>
        <w:t>Number of clients assessed</w:t>
      </w:r>
      <w:r w:rsidR="00AF59D1">
        <w:rPr>
          <w:rFonts w:ascii="Arial Unicode MS" w:eastAsia="Times New Roman" w:hAnsi="Arial Unicode MS" w:cs="Calibri"/>
          <w:lang w:eastAsia="en-AU"/>
        </w:rPr>
        <w:t>’</w:t>
      </w:r>
      <w:r>
        <w:rPr>
          <w:rFonts w:ascii="Arial Unicode MS" w:eastAsia="Times New Roman" w:hAnsi="Arial Unicode MS" w:cs="Calibri"/>
          <w:lang w:eastAsia="en-AU"/>
        </w:rPr>
        <w:t xml:space="preserve"> data in the Client Outcomes Report shows the total number of people who have had one SCORE recorded in the current reporting period and a SCORE recorded at any time prior regardless of when the previous SCORE was recorded. </w:t>
      </w:r>
    </w:p>
    <w:p w:rsidR="006911BC" w:rsidRDefault="006911BC" w:rsidP="006911BC">
      <w:pPr>
        <w:spacing w:after="0" w:line="240" w:lineRule="auto"/>
        <w:ind w:left="993" w:hanging="273"/>
        <w:rPr>
          <w:rFonts w:ascii="Arial Unicode MS" w:eastAsia="Times New Roman" w:hAnsi="Arial Unicode MS" w:cs="Calibri"/>
          <w:lang w:eastAsia="en-AU"/>
        </w:rPr>
      </w:pPr>
      <w:r>
        <w:rPr>
          <w:rFonts w:ascii="Arial Unicode MS" w:eastAsia="Times New Roman" w:hAnsi="Arial Unicode MS" w:cs="Calibri"/>
          <w:lang w:eastAsia="en-AU"/>
        </w:rPr>
        <w:tab/>
      </w:r>
    </w:p>
    <w:p w:rsidR="006911BC" w:rsidRDefault="006911BC" w:rsidP="006911BC">
      <w:pPr>
        <w:spacing w:after="0" w:line="240" w:lineRule="auto"/>
        <w:rPr>
          <w:rFonts w:ascii="Arial Unicode MS" w:eastAsia="Times New Roman" w:hAnsi="Arial Unicode MS" w:cs="Calibri"/>
          <w:lang w:eastAsia="en-AU"/>
        </w:rPr>
      </w:pPr>
      <w:r w:rsidRPr="00BF6068">
        <w:rPr>
          <w:rFonts w:eastAsiaTheme="majorEastAsia" w:cstheme="majorBidi"/>
          <w:b/>
          <w:bCs/>
          <w:color w:val="215868" w:themeColor="accent5" w:themeShade="80"/>
          <w:sz w:val="28"/>
          <w:szCs w:val="26"/>
        </w:rPr>
        <w:t>Q.</w:t>
      </w:r>
      <w:r>
        <w:rPr>
          <w:rFonts w:ascii="Arial Unicode MS" w:eastAsia="Times New Roman" w:hAnsi="Arial Unicode MS" w:cs="Calibri"/>
          <w:lang w:eastAsia="en-AU"/>
        </w:rPr>
        <w:t xml:space="preserve"> How is </w:t>
      </w:r>
      <w:r w:rsidRPr="00D812F3">
        <w:rPr>
          <w:rFonts w:ascii="Arial Unicode MS" w:eastAsia="Times New Roman" w:hAnsi="Arial Unicode MS" w:cs="Calibri"/>
          <w:lang w:eastAsia="en-AU"/>
        </w:rPr>
        <w:t>the requirement of having outcome</w:t>
      </w:r>
      <w:r w:rsidR="00AF59D1">
        <w:rPr>
          <w:rFonts w:ascii="Arial Unicode MS" w:eastAsia="Times New Roman" w:hAnsi="Arial Unicode MS" w:cs="Calibri"/>
          <w:lang w:eastAsia="en-AU"/>
        </w:rPr>
        <w:t>s</w:t>
      </w:r>
      <w:r w:rsidRPr="00D812F3">
        <w:rPr>
          <w:rFonts w:ascii="Arial Unicode MS" w:eastAsia="Times New Roman" w:hAnsi="Arial Unicode MS" w:cs="Calibri"/>
          <w:lang w:eastAsia="en-AU"/>
        </w:rPr>
        <w:t xml:space="preserve"> data for 50-60% of client</w:t>
      </w:r>
      <w:r>
        <w:rPr>
          <w:rFonts w:ascii="Arial Unicode MS" w:eastAsia="Times New Roman" w:hAnsi="Arial Unicode MS" w:cs="Calibri"/>
          <w:lang w:eastAsia="en-AU"/>
        </w:rPr>
        <w:t xml:space="preserve">’s assessed measured? </w:t>
      </w:r>
    </w:p>
    <w:p w:rsidR="006911BC" w:rsidRDefault="006911BC" w:rsidP="006911BC">
      <w:pPr>
        <w:spacing w:after="0" w:line="240" w:lineRule="auto"/>
        <w:rPr>
          <w:rFonts w:ascii="Arial Unicode MS" w:eastAsia="Times New Roman" w:hAnsi="Arial Unicode MS" w:cs="Calibri"/>
          <w:lang w:eastAsia="en-AU"/>
        </w:rPr>
      </w:pPr>
    </w:p>
    <w:p w:rsidR="006911BC" w:rsidRDefault="006911BC" w:rsidP="006911BC">
      <w:pPr>
        <w:spacing w:after="0" w:line="240" w:lineRule="auto"/>
        <w:ind w:left="993" w:hanging="273"/>
        <w:rPr>
          <w:rFonts w:cs="Arial"/>
        </w:rPr>
      </w:pPr>
      <w:r w:rsidRPr="00BF6068">
        <w:rPr>
          <w:rFonts w:eastAsiaTheme="majorEastAsia" w:cstheme="majorBidi"/>
          <w:b/>
          <w:bCs/>
          <w:color w:val="215868" w:themeColor="accent5" w:themeShade="80"/>
          <w:sz w:val="28"/>
          <w:szCs w:val="26"/>
        </w:rPr>
        <w:t xml:space="preserve"> A.</w:t>
      </w:r>
      <w:r>
        <w:rPr>
          <w:rFonts w:ascii="Arial Unicode MS" w:eastAsia="Times New Roman" w:hAnsi="Arial Unicode MS" w:cs="Calibri"/>
          <w:lang w:eastAsia="en-AU"/>
        </w:rPr>
        <w:t xml:space="preserve"> </w:t>
      </w:r>
      <w:r>
        <w:rPr>
          <w:rFonts w:cs="Arial"/>
        </w:rPr>
        <w:t>It is expected that, where practical, you collect outcomes data for 50</w:t>
      </w:r>
      <w:r w:rsidR="00AF59D1">
        <w:rPr>
          <w:rFonts w:cs="Arial"/>
        </w:rPr>
        <w:t xml:space="preserve"> – </w:t>
      </w:r>
      <w:r>
        <w:rPr>
          <w:rFonts w:cs="Arial"/>
        </w:rPr>
        <w:t xml:space="preserve">60 per cent of all participants. This is determined by the number of clients who have had one SCORE recorded against any domain in the reporting period. The client does not have to have two outcomes recorded in the reporting period to be counted in the 50 – 60 per cent figure. </w:t>
      </w:r>
    </w:p>
    <w:p w:rsidR="00A652F5" w:rsidRDefault="00A652F5" w:rsidP="006911BC">
      <w:pPr>
        <w:spacing w:after="0" w:line="240" w:lineRule="auto"/>
        <w:ind w:left="993" w:hanging="273"/>
        <w:rPr>
          <w:rFonts w:ascii="Arial Unicode MS" w:eastAsia="Times New Roman" w:hAnsi="Arial Unicode MS" w:cs="Calibri"/>
          <w:lang w:eastAsia="en-AU"/>
        </w:rPr>
      </w:pPr>
    </w:p>
    <w:p w:rsidR="00FD5943" w:rsidRDefault="00350D7C" w:rsidP="00FD5943">
      <w:r w:rsidRPr="00BF6068">
        <w:rPr>
          <w:rFonts w:eastAsiaTheme="majorEastAsia" w:cstheme="majorBidi"/>
          <w:b/>
          <w:bCs/>
          <w:color w:val="215868" w:themeColor="accent5" w:themeShade="80"/>
          <w:sz w:val="28"/>
          <w:szCs w:val="26"/>
        </w:rPr>
        <w:t>Q.</w:t>
      </w:r>
      <w:r>
        <w:t xml:space="preserve"> If my organisation uploads our data from third party software, can I still access the reports?</w:t>
      </w:r>
    </w:p>
    <w:p w:rsidR="00350D7C" w:rsidRDefault="00350D7C" w:rsidP="00A81D4B">
      <w:pPr>
        <w:ind w:left="993" w:hanging="273"/>
      </w:pPr>
      <w:r w:rsidRPr="00BF6068">
        <w:rPr>
          <w:rFonts w:eastAsiaTheme="majorEastAsia" w:cstheme="majorBidi"/>
          <w:b/>
          <w:bCs/>
          <w:color w:val="215868" w:themeColor="accent5" w:themeShade="80"/>
          <w:sz w:val="28"/>
          <w:szCs w:val="26"/>
        </w:rPr>
        <w:t>A.</w:t>
      </w:r>
      <w:r>
        <w:t xml:space="preserve"> </w:t>
      </w:r>
      <w:r w:rsidR="00CA0913">
        <w:t>Yes</w:t>
      </w:r>
      <w:r w:rsidR="00AF59D1">
        <w:t>,</w:t>
      </w:r>
      <w:r w:rsidR="00CA0913">
        <w:t xml:space="preserve"> </w:t>
      </w:r>
      <w:r w:rsidR="00AF59D1">
        <w:t>y</w:t>
      </w:r>
      <w:r w:rsidR="00CA0913">
        <w:t xml:space="preserve">ou can </w:t>
      </w:r>
      <w:r w:rsidR="00A502F0">
        <w:t xml:space="preserve">only </w:t>
      </w:r>
      <w:r w:rsidR="00CA0913">
        <w:t>access the reports through the Data Exchange portal. You will need to have a myGovID set up and have access provided by your Organisation Administrator in the Data Exchange portal to be able to see the reports.</w:t>
      </w:r>
      <w:r w:rsidR="00AF59D1">
        <w:t xml:space="preserve"> The ‘</w:t>
      </w:r>
      <w:hyperlink r:id="rId18" w:history="1">
        <w:r w:rsidR="00AF59D1" w:rsidRPr="00AF59D1">
          <w:rPr>
            <w:rStyle w:val="Hyperlink"/>
          </w:rPr>
          <w:t>Quick start guide</w:t>
        </w:r>
      </w:hyperlink>
      <w:r w:rsidR="00AF59D1">
        <w:t>’ provides assistance on how to gain access to myGovID and the reports.</w:t>
      </w:r>
    </w:p>
    <w:p w:rsidR="00D14724" w:rsidRDefault="00D14724" w:rsidP="00A81D4B">
      <w:pPr>
        <w:ind w:left="993" w:hanging="273"/>
      </w:pPr>
    </w:p>
    <w:p w:rsidR="00D14724" w:rsidRDefault="00D14724" w:rsidP="00A81D4B">
      <w:pPr>
        <w:ind w:left="993" w:hanging="273"/>
      </w:pPr>
    </w:p>
    <w:p w:rsidR="00A04889" w:rsidRDefault="00A04889" w:rsidP="00A04889">
      <w:pPr>
        <w:rPr>
          <w:rFonts w:ascii="Arial Unicode MS" w:eastAsia="Times New Roman" w:hAnsi="Arial Unicode MS" w:cs="Calibri"/>
          <w:lang w:eastAsia="en-AU"/>
        </w:rPr>
      </w:pPr>
      <w:r w:rsidRPr="00BF6068">
        <w:rPr>
          <w:rFonts w:eastAsiaTheme="majorEastAsia" w:cstheme="majorBidi"/>
          <w:b/>
          <w:bCs/>
          <w:color w:val="215868" w:themeColor="accent5" w:themeShade="80"/>
          <w:sz w:val="28"/>
          <w:szCs w:val="26"/>
        </w:rPr>
        <w:t>Q.</w:t>
      </w:r>
      <w:r>
        <w:t xml:space="preserve"> W</w:t>
      </w:r>
      <w:r w:rsidRPr="00A04889">
        <w:rPr>
          <w:rFonts w:ascii="Arial Unicode MS" w:eastAsia="Times New Roman" w:hAnsi="Arial Unicode MS" w:cs="Calibri"/>
          <w:lang w:eastAsia="en-AU"/>
        </w:rPr>
        <w:t>hy can there be different figures between Individual client numbers and cases?</w:t>
      </w:r>
    </w:p>
    <w:p w:rsidR="00A04889" w:rsidRDefault="00A04889" w:rsidP="00A04889">
      <w:pPr>
        <w:spacing w:after="0" w:line="240" w:lineRule="auto"/>
        <w:ind w:left="993" w:hanging="273"/>
        <w:rPr>
          <w:rFonts w:ascii="Arial Unicode MS" w:eastAsia="Times New Roman" w:hAnsi="Arial Unicode MS" w:cs="Calibri"/>
          <w:lang w:eastAsia="en-AU"/>
        </w:rPr>
      </w:pPr>
      <w:r w:rsidRPr="00BF6068">
        <w:rPr>
          <w:rFonts w:eastAsiaTheme="majorEastAsia" w:cstheme="majorBidi"/>
          <w:b/>
          <w:bCs/>
          <w:color w:val="215868" w:themeColor="accent5" w:themeShade="80"/>
          <w:sz w:val="28"/>
          <w:szCs w:val="26"/>
        </w:rPr>
        <w:lastRenderedPageBreak/>
        <w:t xml:space="preserve">A. </w:t>
      </w:r>
      <w:r>
        <w:rPr>
          <w:rFonts w:ascii="Arial Unicode MS" w:eastAsia="Times New Roman" w:hAnsi="Arial Unicode MS" w:cs="Calibri"/>
          <w:lang w:eastAsia="en-AU"/>
        </w:rPr>
        <w:t>A case</w:t>
      </w:r>
      <w:r w:rsidRPr="00A04889">
        <w:rPr>
          <w:rFonts w:ascii="Arial Unicode MS" w:eastAsia="Times New Roman" w:hAnsi="Arial Unicode MS" w:cs="Calibri"/>
          <w:lang w:eastAsia="en-AU"/>
        </w:rPr>
        <w:t xml:space="preserve"> can have nu</w:t>
      </w:r>
      <w:r>
        <w:rPr>
          <w:rFonts w:ascii="Arial Unicode MS" w:eastAsia="Times New Roman" w:hAnsi="Arial Unicode MS" w:cs="Calibri"/>
          <w:lang w:eastAsia="en-AU"/>
        </w:rPr>
        <w:t xml:space="preserve">merous clients attached to it or a client can be added to a number of cases. This will impact the numbers shown in the reports. </w:t>
      </w:r>
    </w:p>
    <w:p w:rsidR="00A04889" w:rsidRDefault="00A04889" w:rsidP="00A04889">
      <w:pPr>
        <w:spacing w:after="0" w:line="240" w:lineRule="auto"/>
        <w:rPr>
          <w:rFonts w:ascii="Arial Unicode MS" w:eastAsia="Times New Roman" w:hAnsi="Arial Unicode MS" w:cs="Calibri"/>
          <w:lang w:eastAsia="en-AU"/>
        </w:rPr>
      </w:pPr>
      <w:r w:rsidRPr="00BF6068">
        <w:rPr>
          <w:rFonts w:eastAsiaTheme="majorEastAsia" w:cstheme="majorBidi"/>
          <w:b/>
          <w:bCs/>
          <w:color w:val="215868" w:themeColor="accent5" w:themeShade="80"/>
          <w:sz w:val="28"/>
          <w:szCs w:val="26"/>
        </w:rPr>
        <w:t>Q.</w:t>
      </w:r>
      <w:r>
        <w:rPr>
          <w:rFonts w:ascii="Arial Unicode MS" w:eastAsia="Times New Roman" w:hAnsi="Arial Unicode MS" w:cs="Calibri"/>
          <w:lang w:eastAsia="en-AU"/>
        </w:rPr>
        <w:t xml:space="preserve"> </w:t>
      </w:r>
      <w:r w:rsidRPr="00A04889">
        <w:rPr>
          <w:rFonts w:ascii="Arial Unicode MS" w:eastAsia="Times New Roman" w:hAnsi="Arial Unicode MS" w:cs="Calibri"/>
          <w:lang w:eastAsia="en-AU"/>
        </w:rPr>
        <w:t>Is there any way to find out which session has not been scored?</w:t>
      </w:r>
    </w:p>
    <w:p w:rsidR="00A04889" w:rsidRDefault="00A04889" w:rsidP="00A04889">
      <w:pPr>
        <w:spacing w:after="0" w:line="240" w:lineRule="auto"/>
        <w:rPr>
          <w:rFonts w:ascii="Arial Unicode MS" w:eastAsia="Times New Roman" w:hAnsi="Arial Unicode MS" w:cs="Calibri"/>
          <w:lang w:eastAsia="en-AU"/>
        </w:rPr>
      </w:pPr>
    </w:p>
    <w:p w:rsidR="00A04889" w:rsidRDefault="00A04889" w:rsidP="00A04889">
      <w:pPr>
        <w:spacing w:after="0" w:line="240" w:lineRule="auto"/>
        <w:ind w:left="993" w:hanging="273"/>
        <w:rPr>
          <w:rFonts w:ascii="Arial Unicode MS" w:eastAsia="Times New Roman" w:hAnsi="Arial Unicode MS" w:cs="Calibri"/>
          <w:lang w:eastAsia="en-AU"/>
        </w:rPr>
      </w:pPr>
      <w:r w:rsidRPr="00BF6068">
        <w:rPr>
          <w:rFonts w:eastAsiaTheme="majorEastAsia" w:cstheme="majorBidi"/>
          <w:b/>
          <w:bCs/>
          <w:color w:val="215868" w:themeColor="accent5" w:themeShade="80"/>
          <w:sz w:val="28"/>
          <w:szCs w:val="26"/>
        </w:rPr>
        <w:t>A.</w:t>
      </w:r>
      <w:r>
        <w:rPr>
          <w:rFonts w:ascii="Arial Unicode MS" w:eastAsia="Times New Roman" w:hAnsi="Arial Unicode MS" w:cs="Calibri"/>
          <w:lang w:eastAsia="en-AU"/>
        </w:rPr>
        <w:t xml:space="preserve"> </w:t>
      </w:r>
      <w:r w:rsidRPr="00A04889">
        <w:rPr>
          <w:rFonts w:ascii="Arial Unicode MS" w:eastAsia="Times New Roman" w:hAnsi="Arial Unicode MS" w:cs="Calibri"/>
          <w:lang w:eastAsia="en-AU"/>
        </w:rPr>
        <w:t>The Client Outcomes report</w:t>
      </w:r>
      <w:r w:rsidR="00AF59D1">
        <w:rPr>
          <w:rFonts w:ascii="Arial Unicode MS" w:eastAsia="Times New Roman" w:hAnsi="Arial Unicode MS" w:cs="Calibri"/>
          <w:lang w:eastAsia="en-AU"/>
        </w:rPr>
        <w:t xml:space="preserve"> – </w:t>
      </w:r>
      <w:r w:rsidRPr="00A04889">
        <w:rPr>
          <w:rFonts w:ascii="Arial Unicode MS" w:eastAsia="Times New Roman" w:hAnsi="Arial Unicode MS" w:cs="Calibri"/>
          <w:lang w:eastAsia="en-AU"/>
        </w:rPr>
        <w:t xml:space="preserve">SCORE details sheet provides details of the number of domains recorded for clients. To see all </w:t>
      </w:r>
      <w:r w:rsidR="006911BC">
        <w:rPr>
          <w:rFonts w:ascii="Arial Unicode MS" w:eastAsia="Times New Roman" w:hAnsi="Arial Unicode MS" w:cs="Calibri"/>
          <w:lang w:eastAsia="en-AU"/>
        </w:rPr>
        <w:t>SCORE</w:t>
      </w:r>
      <w:r w:rsidR="00AF59D1">
        <w:rPr>
          <w:rFonts w:ascii="Arial Unicode MS" w:eastAsia="Times New Roman" w:hAnsi="Arial Unicode MS" w:cs="Calibri"/>
          <w:lang w:eastAsia="en-AU"/>
        </w:rPr>
        <w:t>’</w:t>
      </w:r>
      <w:r w:rsidRPr="00A04889">
        <w:rPr>
          <w:rFonts w:ascii="Arial Unicode MS" w:eastAsia="Times New Roman" w:hAnsi="Arial Unicode MS" w:cs="Calibri"/>
          <w:lang w:eastAsia="en-AU"/>
        </w:rPr>
        <w:t xml:space="preserve">s for an individual client, you need to select </w:t>
      </w:r>
      <w:r w:rsidR="006911BC">
        <w:rPr>
          <w:rFonts w:ascii="Arial Unicode MS" w:eastAsia="Times New Roman" w:hAnsi="Arial Unicode MS" w:cs="Calibri"/>
          <w:lang w:eastAsia="en-AU"/>
        </w:rPr>
        <w:t xml:space="preserve">the </w:t>
      </w:r>
      <w:r w:rsidR="00A652F5">
        <w:rPr>
          <w:rFonts w:ascii="Arial Unicode MS" w:eastAsia="Times New Roman" w:hAnsi="Arial Unicode MS" w:cs="Calibri"/>
          <w:lang w:eastAsia="en-AU"/>
        </w:rPr>
        <w:t xml:space="preserve">relevant </w:t>
      </w:r>
      <w:r w:rsidR="00A652F5" w:rsidRPr="00A04889">
        <w:rPr>
          <w:rFonts w:ascii="Arial Unicode MS" w:eastAsia="Times New Roman" w:hAnsi="Arial Unicode MS" w:cs="Calibri"/>
          <w:lang w:eastAsia="en-AU"/>
        </w:rPr>
        <w:t>client</w:t>
      </w:r>
      <w:r w:rsidRPr="00A04889">
        <w:rPr>
          <w:rFonts w:ascii="Arial Unicode MS" w:eastAsia="Times New Roman" w:hAnsi="Arial Unicode MS" w:cs="Calibri"/>
          <w:lang w:eastAsia="en-AU"/>
        </w:rPr>
        <w:t xml:space="preserve"> ID.  </w:t>
      </w:r>
      <w:r>
        <w:rPr>
          <w:rFonts w:ascii="Arial Unicode MS" w:eastAsia="Times New Roman" w:hAnsi="Arial Unicode MS" w:cs="Calibri"/>
          <w:lang w:eastAsia="en-AU"/>
        </w:rPr>
        <w:t xml:space="preserve"> </w:t>
      </w:r>
    </w:p>
    <w:p w:rsidR="00A04889" w:rsidRDefault="00A04889" w:rsidP="00A04889">
      <w:pPr>
        <w:spacing w:after="0" w:line="240" w:lineRule="auto"/>
        <w:ind w:left="993" w:hanging="273"/>
        <w:rPr>
          <w:rFonts w:ascii="Arial Unicode MS" w:eastAsia="Times New Roman" w:hAnsi="Arial Unicode MS" w:cs="Calibri"/>
          <w:lang w:eastAsia="en-AU"/>
        </w:rPr>
      </w:pPr>
    </w:p>
    <w:p w:rsidR="00A04889" w:rsidRDefault="00A04889" w:rsidP="00A04889">
      <w:pPr>
        <w:spacing w:after="0" w:line="240" w:lineRule="auto"/>
        <w:rPr>
          <w:rFonts w:ascii="Arial Unicode MS" w:eastAsia="Times New Roman" w:hAnsi="Arial Unicode MS" w:cs="Calibri"/>
          <w:lang w:eastAsia="en-AU"/>
        </w:rPr>
      </w:pPr>
      <w:r w:rsidRPr="00BF6068">
        <w:rPr>
          <w:rFonts w:eastAsiaTheme="majorEastAsia" w:cstheme="majorBidi"/>
          <w:b/>
          <w:bCs/>
          <w:color w:val="215868" w:themeColor="accent5" w:themeShade="80"/>
          <w:sz w:val="28"/>
          <w:szCs w:val="26"/>
        </w:rPr>
        <w:t>Q.</w:t>
      </w:r>
      <w:r>
        <w:rPr>
          <w:rFonts w:ascii="Arial Unicode MS" w:eastAsia="Times New Roman" w:hAnsi="Arial Unicode MS" w:cs="Calibri"/>
          <w:lang w:eastAsia="en-AU"/>
        </w:rPr>
        <w:t xml:space="preserve"> H</w:t>
      </w:r>
      <w:r w:rsidRPr="00A04889">
        <w:rPr>
          <w:rFonts w:ascii="Arial Unicode MS" w:eastAsia="Times New Roman" w:hAnsi="Arial Unicode MS" w:cs="Calibri"/>
          <w:lang w:eastAsia="en-AU"/>
        </w:rPr>
        <w:t xml:space="preserve">ow </w:t>
      </w:r>
      <w:r>
        <w:rPr>
          <w:rFonts w:ascii="Arial Unicode MS" w:eastAsia="Times New Roman" w:hAnsi="Arial Unicode MS" w:cs="Calibri"/>
          <w:lang w:eastAsia="en-AU"/>
        </w:rPr>
        <w:t xml:space="preserve">do I </w:t>
      </w:r>
      <w:r w:rsidRPr="00A04889">
        <w:rPr>
          <w:rFonts w:ascii="Arial Unicode MS" w:eastAsia="Times New Roman" w:hAnsi="Arial Unicode MS" w:cs="Calibri"/>
          <w:lang w:eastAsia="en-AU"/>
        </w:rPr>
        <w:t xml:space="preserve">know </w:t>
      </w:r>
      <w:r>
        <w:rPr>
          <w:rFonts w:ascii="Arial Unicode MS" w:eastAsia="Times New Roman" w:hAnsi="Arial Unicode MS" w:cs="Calibri"/>
          <w:lang w:eastAsia="en-AU"/>
        </w:rPr>
        <w:t>h</w:t>
      </w:r>
      <w:r w:rsidRPr="00A04889">
        <w:rPr>
          <w:rFonts w:ascii="Arial Unicode MS" w:eastAsia="Times New Roman" w:hAnsi="Arial Unicode MS" w:cs="Calibri"/>
          <w:lang w:eastAsia="en-AU"/>
        </w:rPr>
        <w:t xml:space="preserve">ow many identified and unidentified clients </w:t>
      </w:r>
      <w:r w:rsidR="00D14724">
        <w:rPr>
          <w:rFonts w:ascii="Arial Unicode MS" w:eastAsia="Times New Roman" w:hAnsi="Arial Unicode MS" w:cs="Calibri"/>
          <w:lang w:eastAsia="en-AU"/>
        </w:rPr>
        <w:t xml:space="preserve">were input </w:t>
      </w:r>
      <w:r w:rsidRPr="00A04889">
        <w:rPr>
          <w:rFonts w:ascii="Arial Unicode MS" w:eastAsia="Times New Roman" w:hAnsi="Arial Unicode MS" w:cs="Calibri"/>
          <w:lang w:eastAsia="en-AU"/>
        </w:rPr>
        <w:t>during the reported period</w:t>
      </w:r>
      <w:r>
        <w:rPr>
          <w:rFonts w:ascii="Arial Unicode MS" w:eastAsia="Times New Roman" w:hAnsi="Arial Unicode MS" w:cs="Calibri"/>
          <w:lang w:eastAsia="en-AU"/>
        </w:rPr>
        <w:t>?</w:t>
      </w:r>
    </w:p>
    <w:p w:rsidR="00A04889" w:rsidRDefault="00A04889" w:rsidP="00A04889">
      <w:pPr>
        <w:spacing w:after="0" w:line="240" w:lineRule="auto"/>
        <w:rPr>
          <w:rFonts w:ascii="Arial Unicode MS" w:eastAsia="Times New Roman" w:hAnsi="Arial Unicode MS" w:cs="Calibri"/>
          <w:lang w:eastAsia="en-AU"/>
        </w:rPr>
      </w:pPr>
      <w:r>
        <w:rPr>
          <w:rFonts w:ascii="Arial Unicode MS" w:eastAsia="Times New Roman" w:hAnsi="Arial Unicode MS" w:cs="Calibri"/>
          <w:lang w:eastAsia="en-AU"/>
        </w:rPr>
        <w:tab/>
      </w:r>
    </w:p>
    <w:p w:rsidR="00A04889" w:rsidRDefault="00A04889" w:rsidP="00A04889">
      <w:pPr>
        <w:spacing w:after="0" w:line="240" w:lineRule="auto"/>
        <w:ind w:left="993" w:hanging="273"/>
        <w:rPr>
          <w:rFonts w:ascii="Arial Unicode MS" w:eastAsia="Times New Roman" w:hAnsi="Arial Unicode MS" w:cs="Calibri"/>
          <w:lang w:eastAsia="en-AU"/>
        </w:rPr>
      </w:pPr>
      <w:r w:rsidRPr="00BF6068">
        <w:rPr>
          <w:rFonts w:eastAsiaTheme="majorEastAsia" w:cstheme="majorBidi"/>
          <w:b/>
          <w:bCs/>
          <w:color w:val="215868" w:themeColor="accent5" w:themeShade="80"/>
          <w:sz w:val="28"/>
          <w:szCs w:val="26"/>
        </w:rPr>
        <w:t>A.</w:t>
      </w:r>
      <w:r>
        <w:rPr>
          <w:rFonts w:ascii="Arial Unicode MS" w:eastAsia="Times New Roman" w:hAnsi="Arial Unicode MS" w:cs="Calibri"/>
          <w:lang w:eastAsia="en-AU"/>
        </w:rPr>
        <w:t xml:space="preserve"> </w:t>
      </w:r>
      <w:r w:rsidRPr="00A04889">
        <w:rPr>
          <w:rFonts w:ascii="Arial Unicode MS" w:eastAsia="Times New Roman" w:hAnsi="Arial Unicode MS" w:cs="Calibri"/>
          <w:lang w:eastAsia="en-AU"/>
        </w:rPr>
        <w:t>The number of unidentified clients is reported in the reports as Group Clients. All reports will show the number of group clients if they have been recorded in the Data Exchange.</w:t>
      </w:r>
    </w:p>
    <w:p w:rsidR="00A04889" w:rsidRDefault="00A04889" w:rsidP="00A04889">
      <w:pPr>
        <w:spacing w:after="0" w:line="240" w:lineRule="auto"/>
        <w:ind w:left="993" w:hanging="273"/>
        <w:rPr>
          <w:rFonts w:ascii="Arial Unicode MS" w:eastAsia="Times New Roman" w:hAnsi="Arial Unicode MS" w:cs="Calibri"/>
          <w:lang w:eastAsia="en-AU"/>
        </w:rPr>
      </w:pPr>
    </w:p>
    <w:p w:rsidR="00A04889" w:rsidRDefault="00A04889" w:rsidP="00A04889">
      <w:pPr>
        <w:spacing w:after="0" w:line="240" w:lineRule="auto"/>
        <w:ind w:left="284" w:hanging="284"/>
        <w:rPr>
          <w:rFonts w:ascii="Arial Unicode MS" w:eastAsia="Times New Roman" w:hAnsi="Arial Unicode MS" w:cs="Calibri"/>
          <w:lang w:eastAsia="en-AU"/>
        </w:rPr>
      </w:pPr>
      <w:r w:rsidRPr="00BF6068">
        <w:rPr>
          <w:rFonts w:eastAsiaTheme="majorEastAsia" w:cstheme="majorBidi"/>
          <w:b/>
          <w:bCs/>
          <w:color w:val="215868" w:themeColor="accent5" w:themeShade="80"/>
          <w:sz w:val="28"/>
          <w:szCs w:val="26"/>
        </w:rPr>
        <w:t>Q.</w:t>
      </w:r>
      <w:r>
        <w:rPr>
          <w:rFonts w:ascii="Arial Unicode MS" w:eastAsia="Times New Roman" w:hAnsi="Arial Unicode MS" w:cs="Calibri"/>
          <w:lang w:eastAsia="en-AU"/>
        </w:rPr>
        <w:t xml:space="preserve"> </w:t>
      </w:r>
      <w:r w:rsidRPr="00A04889">
        <w:rPr>
          <w:rFonts w:ascii="Arial Unicode MS" w:eastAsia="Times New Roman" w:hAnsi="Arial Unicode MS" w:cs="Calibri"/>
          <w:lang w:eastAsia="en-AU"/>
        </w:rPr>
        <w:t xml:space="preserve">Can you extract all clients and their </w:t>
      </w:r>
      <w:r w:rsidR="00AF59D1">
        <w:rPr>
          <w:rFonts w:ascii="Arial Unicode MS" w:eastAsia="Times New Roman" w:hAnsi="Arial Unicode MS" w:cs="Calibri"/>
          <w:lang w:eastAsia="en-AU"/>
        </w:rPr>
        <w:t>SCORE’s</w:t>
      </w:r>
      <w:r w:rsidR="001902BE">
        <w:rPr>
          <w:rFonts w:ascii="Arial Unicode MS" w:eastAsia="Times New Roman" w:hAnsi="Arial Unicode MS" w:cs="Calibri"/>
          <w:lang w:eastAsia="en-AU"/>
        </w:rPr>
        <w:t xml:space="preserve"> in</w:t>
      </w:r>
      <w:r w:rsidRPr="00A04889">
        <w:rPr>
          <w:rFonts w:ascii="Arial Unicode MS" w:eastAsia="Times New Roman" w:hAnsi="Arial Unicode MS" w:cs="Calibri"/>
          <w:lang w:eastAsia="en-AU"/>
        </w:rPr>
        <w:t>to a spreadsheet so you can see what percentage of clients have been scored and which clients may need their second score in the 6 month reporting period?</w:t>
      </w:r>
    </w:p>
    <w:p w:rsidR="00A04889" w:rsidRDefault="00A04889" w:rsidP="00A04889">
      <w:pPr>
        <w:spacing w:after="0" w:line="240" w:lineRule="auto"/>
        <w:ind w:left="284" w:hanging="284"/>
        <w:rPr>
          <w:rFonts w:ascii="Arial Unicode MS" w:eastAsia="Times New Roman" w:hAnsi="Arial Unicode MS" w:cs="Calibri"/>
          <w:lang w:eastAsia="en-AU"/>
        </w:rPr>
      </w:pPr>
    </w:p>
    <w:p w:rsidR="00A04889" w:rsidRDefault="00A04889" w:rsidP="00A04889">
      <w:pPr>
        <w:spacing w:after="0" w:line="240" w:lineRule="auto"/>
        <w:ind w:left="993" w:hanging="273"/>
        <w:rPr>
          <w:rFonts w:ascii="Arial Unicode MS" w:eastAsia="Times New Roman" w:hAnsi="Arial Unicode MS" w:cs="Calibri"/>
          <w:lang w:eastAsia="en-AU"/>
        </w:rPr>
      </w:pPr>
      <w:r w:rsidRPr="00BF6068">
        <w:rPr>
          <w:rFonts w:eastAsiaTheme="majorEastAsia" w:cstheme="majorBidi"/>
          <w:b/>
          <w:bCs/>
          <w:color w:val="215868" w:themeColor="accent5" w:themeShade="80"/>
          <w:sz w:val="28"/>
          <w:szCs w:val="26"/>
        </w:rPr>
        <w:t>A.</w:t>
      </w:r>
      <w:r>
        <w:rPr>
          <w:rFonts w:ascii="Arial Unicode MS" w:eastAsia="Times New Roman" w:hAnsi="Arial Unicode MS" w:cs="Calibri"/>
          <w:lang w:eastAsia="en-AU"/>
        </w:rPr>
        <w:t xml:space="preserve"> </w:t>
      </w:r>
      <w:r w:rsidRPr="00A04889">
        <w:rPr>
          <w:rFonts w:ascii="Arial Unicode MS" w:eastAsia="Times New Roman" w:hAnsi="Arial Unicode MS" w:cs="Calibri"/>
          <w:lang w:eastAsia="en-AU"/>
        </w:rPr>
        <w:t>The Client Outcomes report</w:t>
      </w:r>
      <w:r w:rsidR="00AF59D1">
        <w:rPr>
          <w:rFonts w:ascii="Arial Unicode MS" w:eastAsia="Times New Roman" w:hAnsi="Arial Unicode MS" w:cs="Calibri"/>
          <w:lang w:eastAsia="en-AU"/>
        </w:rPr>
        <w:t xml:space="preserve"> – </w:t>
      </w:r>
      <w:r w:rsidRPr="00A04889">
        <w:rPr>
          <w:rFonts w:ascii="Arial Unicode MS" w:eastAsia="Times New Roman" w:hAnsi="Arial Unicode MS" w:cs="Calibri"/>
          <w:lang w:eastAsia="en-AU"/>
        </w:rPr>
        <w:t xml:space="preserve">SCORE details sheet provides details of the number of domains recorded for clients. To see all scores for an individual client, select a client ID.  </w:t>
      </w:r>
    </w:p>
    <w:p w:rsidR="00A04889" w:rsidRDefault="00A04889" w:rsidP="00A04889">
      <w:pPr>
        <w:spacing w:after="0" w:line="240" w:lineRule="auto"/>
        <w:rPr>
          <w:rFonts w:ascii="Arial Unicode MS" w:eastAsia="Times New Roman" w:hAnsi="Arial Unicode MS" w:cs="Calibri"/>
          <w:lang w:eastAsia="en-AU"/>
        </w:rPr>
      </w:pPr>
    </w:p>
    <w:p w:rsidR="00A04889" w:rsidRDefault="00A04889" w:rsidP="00A04889">
      <w:pPr>
        <w:spacing w:after="0" w:line="240" w:lineRule="auto"/>
        <w:rPr>
          <w:rFonts w:ascii="Arial Unicode MS" w:eastAsia="Times New Roman" w:hAnsi="Arial Unicode MS" w:cs="Calibri"/>
          <w:lang w:eastAsia="en-AU"/>
        </w:rPr>
      </w:pPr>
      <w:r w:rsidRPr="00BF6068">
        <w:rPr>
          <w:rFonts w:eastAsiaTheme="majorEastAsia" w:cstheme="majorBidi"/>
          <w:b/>
          <w:bCs/>
          <w:color w:val="215868" w:themeColor="accent5" w:themeShade="80"/>
          <w:sz w:val="28"/>
          <w:szCs w:val="26"/>
        </w:rPr>
        <w:t>Q.</w:t>
      </w:r>
      <w:r>
        <w:rPr>
          <w:rFonts w:ascii="Arial Unicode MS" w:eastAsia="Times New Roman" w:hAnsi="Arial Unicode MS" w:cs="Calibri"/>
          <w:lang w:eastAsia="en-AU"/>
        </w:rPr>
        <w:t xml:space="preserve"> </w:t>
      </w:r>
      <w:r w:rsidRPr="00A04889">
        <w:rPr>
          <w:rFonts w:ascii="Arial Unicode MS" w:eastAsia="Times New Roman" w:hAnsi="Arial Unicode MS" w:cs="Calibri"/>
          <w:lang w:eastAsia="en-AU"/>
        </w:rPr>
        <w:t>Do we have the same capability to extract aggregate reports on our data as the DSS/DEX team?</w:t>
      </w:r>
    </w:p>
    <w:p w:rsidR="00A04889" w:rsidRDefault="00A04889" w:rsidP="00A04889">
      <w:pPr>
        <w:spacing w:after="0" w:line="240" w:lineRule="auto"/>
        <w:rPr>
          <w:rFonts w:ascii="Arial Unicode MS" w:eastAsia="Times New Roman" w:hAnsi="Arial Unicode MS" w:cs="Calibri"/>
          <w:lang w:eastAsia="en-AU"/>
        </w:rPr>
      </w:pPr>
    </w:p>
    <w:p w:rsidR="00A04889" w:rsidRDefault="00A04889" w:rsidP="00A04889">
      <w:pPr>
        <w:spacing w:after="0" w:line="240" w:lineRule="auto"/>
        <w:ind w:left="993" w:hanging="273"/>
        <w:rPr>
          <w:rFonts w:ascii="Arial Unicode MS" w:eastAsia="Times New Roman" w:hAnsi="Arial Unicode MS" w:cs="Calibri"/>
          <w:lang w:eastAsia="en-AU"/>
        </w:rPr>
      </w:pPr>
      <w:r w:rsidRPr="00BF6068">
        <w:rPr>
          <w:rFonts w:eastAsiaTheme="majorEastAsia" w:cstheme="majorBidi"/>
          <w:b/>
          <w:bCs/>
          <w:color w:val="215868" w:themeColor="accent5" w:themeShade="80"/>
          <w:sz w:val="28"/>
          <w:szCs w:val="26"/>
        </w:rPr>
        <w:t>A.</w:t>
      </w:r>
      <w:r>
        <w:rPr>
          <w:rFonts w:ascii="Arial Unicode MS" w:eastAsia="Times New Roman" w:hAnsi="Arial Unicode MS" w:cs="Calibri"/>
          <w:lang w:eastAsia="en-AU"/>
        </w:rPr>
        <w:t xml:space="preserve"> </w:t>
      </w:r>
      <w:r w:rsidR="005316B5">
        <w:rPr>
          <w:rFonts w:ascii="Arial Unicode MS" w:eastAsia="Times New Roman" w:hAnsi="Arial Unicode MS" w:cs="Calibri"/>
          <w:lang w:eastAsia="en-AU"/>
        </w:rPr>
        <w:t xml:space="preserve">Organisations can only see information for their organisation or delivery partners if the </w:t>
      </w:r>
      <w:hyperlink r:id="rId19" w:history="1">
        <w:r w:rsidR="005316B5" w:rsidRPr="00AF59D1">
          <w:rPr>
            <w:rStyle w:val="Hyperlink"/>
            <w:rFonts w:ascii="Arial Unicode MS" w:eastAsia="Times New Roman" w:hAnsi="Arial Unicode MS" w:cs="Calibri"/>
            <w:lang w:eastAsia="en-AU"/>
          </w:rPr>
          <w:t>Handshake arrangement</w:t>
        </w:r>
      </w:hyperlink>
      <w:r w:rsidR="005316B5">
        <w:rPr>
          <w:rFonts w:ascii="Arial Unicode MS" w:eastAsia="Times New Roman" w:hAnsi="Arial Unicode MS" w:cs="Calibri"/>
          <w:lang w:eastAsia="en-AU"/>
        </w:rPr>
        <w:t xml:space="preserve"> has been established. The department can filter the data to look at the program activity aggregated data</w:t>
      </w:r>
      <w:r w:rsidRPr="00A04889">
        <w:rPr>
          <w:rFonts w:ascii="Arial Unicode MS" w:eastAsia="Times New Roman" w:hAnsi="Arial Unicode MS" w:cs="Calibri"/>
          <w:lang w:eastAsia="en-AU"/>
        </w:rPr>
        <w:t>. Departmental staff are not able to see specific client informat</w:t>
      </w:r>
      <w:r w:rsidR="005316B5">
        <w:rPr>
          <w:rFonts w:ascii="Arial Unicode MS" w:eastAsia="Times New Roman" w:hAnsi="Arial Unicode MS" w:cs="Calibri"/>
          <w:lang w:eastAsia="en-AU"/>
        </w:rPr>
        <w:t>ion such as name, date of birth</w:t>
      </w:r>
      <w:r w:rsidRPr="00A04889">
        <w:rPr>
          <w:rFonts w:ascii="Arial Unicode MS" w:eastAsia="Times New Roman" w:hAnsi="Arial Unicode MS" w:cs="Calibri"/>
          <w:lang w:eastAsia="en-AU"/>
        </w:rPr>
        <w:t xml:space="preserve"> and will see a </w:t>
      </w:r>
      <w:r w:rsidR="00F703E2">
        <w:rPr>
          <w:rFonts w:ascii="Arial Unicode MS" w:eastAsia="Times New Roman" w:hAnsi="Arial Unicode MS" w:cs="Calibri"/>
          <w:lang w:eastAsia="en-AU"/>
        </w:rPr>
        <w:t>dummy</w:t>
      </w:r>
      <w:r w:rsidRPr="00A04889">
        <w:rPr>
          <w:rFonts w:ascii="Arial Unicode MS" w:eastAsia="Times New Roman" w:hAnsi="Arial Unicode MS" w:cs="Calibri"/>
          <w:lang w:eastAsia="en-AU"/>
        </w:rPr>
        <w:t xml:space="preserve"> client ID only</w:t>
      </w:r>
      <w:r>
        <w:rPr>
          <w:rFonts w:ascii="Arial Unicode MS" w:eastAsia="Times New Roman" w:hAnsi="Arial Unicode MS" w:cs="Calibri"/>
          <w:lang w:eastAsia="en-AU"/>
        </w:rPr>
        <w:t>.</w:t>
      </w:r>
      <w:r w:rsidR="005316B5">
        <w:rPr>
          <w:rFonts w:ascii="Arial Unicode MS" w:eastAsia="Times New Roman" w:hAnsi="Arial Unicode MS" w:cs="Calibri"/>
          <w:lang w:eastAsia="en-AU"/>
        </w:rPr>
        <w:t xml:space="preserve"> </w:t>
      </w:r>
    </w:p>
    <w:p w:rsidR="005316B5" w:rsidRDefault="005316B5" w:rsidP="00A04889">
      <w:pPr>
        <w:spacing w:after="0" w:line="240" w:lineRule="auto"/>
        <w:ind w:left="993" w:hanging="273"/>
        <w:rPr>
          <w:rFonts w:ascii="Arial Unicode MS" w:eastAsia="Times New Roman" w:hAnsi="Arial Unicode MS" w:cs="Calibri"/>
          <w:lang w:eastAsia="en-AU"/>
        </w:rPr>
      </w:pPr>
    </w:p>
    <w:p w:rsidR="005316B5" w:rsidRDefault="005316B5" w:rsidP="005316B5">
      <w:pPr>
        <w:spacing w:after="0" w:line="240" w:lineRule="auto"/>
        <w:rPr>
          <w:rFonts w:ascii="Arial Unicode MS" w:eastAsia="Times New Roman" w:hAnsi="Arial Unicode MS" w:cs="Calibri"/>
          <w:lang w:eastAsia="en-AU"/>
        </w:rPr>
      </w:pPr>
      <w:r w:rsidRPr="00BF6068">
        <w:rPr>
          <w:rFonts w:eastAsiaTheme="majorEastAsia" w:cstheme="majorBidi"/>
          <w:b/>
          <w:bCs/>
          <w:color w:val="215868" w:themeColor="accent5" w:themeShade="80"/>
          <w:sz w:val="28"/>
          <w:szCs w:val="26"/>
        </w:rPr>
        <w:t>Q.</w:t>
      </w:r>
      <w:r>
        <w:rPr>
          <w:rFonts w:ascii="Arial Unicode MS" w:eastAsia="Times New Roman" w:hAnsi="Arial Unicode MS" w:cs="Calibri"/>
          <w:lang w:eastAsia="en-AU"/>
        </w:rPr>
        <w:t xml:space="preserve"> D</w:t>
      </w:r>
      <w:r w:rsidRPr="005316B5">
        <w:rPr>
          <w:rFonts w:ascii="Arial Unicode MS" w:eastAsia="Times New Roman" w:hAnsi="Arial Unicode MS" w:cs="Calibri"/>
          <w:lang w:eastAsia="en-AU"/>
        </w:rPr>
        <w:t>o reports break down information to case level or only session level?</w:t>
      </w:r>
    </w:p>
    <w:p w:rsidR="005316B5" w:rsidRDefault="005316B5" w:rsidP="005316B5">
      <w:pPr>
        <w:spacing w:after="0" w:line="240" w:lineRule="auto"/>
        <w:rPr>
          <w:rFonts w:ascii="Arial Unicode MS" w:eastAsia="Times New Roman" w:hAnsi="Arial Unicode MS" w:cs="Calibri"/>
          <w:lang w:eastAsia="en-AU"/>
        </w:rPr>
      </w:pPr>
    </w:p>
    <w:p w:rsidR="005316B5" w:rsidRDefault="005316B5" w:rsidP="005316B5">
      <w:pPr>
        <w:spacing w:after="0" w:line="240" w:lineRule="auto"/>
        <w:ind w:left="993" w:hanging="273"/>
        <w:rPr>
          <w:rFonts w:ascii="Arial Unicode MS" w:eastAsia="Times New Roman" w:hAnsi="Arial Unicode MS" w:cs="Calibri"/>
          <w:lang w:eastAsia="en-AU"/>
        </w:rPr>
      </w:pPr>
      <w:r w:rsidRPr="00BF6068">
        <w:rPr>
          <w:rFonts w:eastAsiaTheme="majorEastAsia" w:cstheme="majorBidi"/>
          <w:b/>
          <w:bCs/>
          <w:color w:val="215868" w:themeColor="accent5" w:themeShade="80"/>
          <w:sz w:val="28"/>
          <w:szCs w:val="26"/>
        </w:rPr>
        <w:t>A.</w:t>
      </w:r>
      <w:r>
        <w:rPr>
          <w:rFonts w:ascii="Arial Unicode MS" w:eastAsia="Times New Roman" w:hAnsi="Arial Unicode MS" w:cs="Calibri"/>
          <w:lang w:eastAsia="en-AU"/>
        </w:rPr>
        <w:t xml:space="preserve"> </w:t>
      </w:r>
      <w:r w:rsidRPr="005316B5">
        <w:rPr>
          <w:rFonts w:ascii="Arial Unicode MS" w:eastAsia="Times New Roman" w:hAnsi="Arial Unicode MS" w:cs="Calibri"/>
          <w:lang w:eastAsia="en-AU"/>
        </w:rPr>
        <w:t xml:space="preserve">The reports </w:t>
      </w:r>
      <w:r>
        <w:rPr>
          <w:rFonts w:ascii="Arial Unicode MS" w:eastAsia="Times New Roman" w:hAnsi="Arial Unicode MS" w:cs="Calibri"/>
          <w:lang w:eastAsia="en-AU"/>
        </w:rPr>
        <w:t>can</w:t>
      </w:r>
      <w:r w:rsidRPr="005316B5">
        <w:rPr>
          <w:rFonts w:ascii="Arial Unicode MS" w:eastAsia="Times New Roman" w:hAnsi="Arial Unicode MS" w:cs="Calibri"/>
          <w:lang w:eastAsia="en-AU"/>
        </w:rPr>
        <w:t xml:space="preserve"> display the number of cases, clients and sessions delivered by your organisation. How the</w:t>
      </w:r>
      <w:r>
        <w:rPr>
          <w:rFonts w:ascii="Arial Unicode MS" w:eastAsia="Times New Roman" w:hAnsi="Arial Unicode MS" w:cs="Calibri"/>
          <w:lang w:eastAsia="en-AU"/>
        </w:rPr>
        <w:t xml:space="preserve"> information is </w:t>
      </w:r>
      <w:r w:rsidRPr="005316B5">
        <w:rPr>
          <w:rFonts w:ascii="Arial Unicode MS" w:eastAsia="Times New Roman" w:hAnsi="Arial Unicode MS" w:cs="Calibri"/>
          <w:lang w:eastAsia="en-AU"/>
        </w:rPr>
        <w:t>displayed will depend on the report and filters selected</w:t>
      </w:r>
      <w:r>
        <w:rPr>
          <w:rFonts w:ascii="Arial Unicode MS" w:eastAsia="Times New Roman" w:hAnsi="Arial Unicode MS" w:cs="Calibri"/>
          <w:lang w:eastAsia="en-AU"/>
        </w:rPr>
        <w:t>.</w:t>
      </w:r>
    </w:p>
    <w:p w:rsidR="005316B5" w:rsidRDefault="005316B5" w:rsidP="005316B5">
      <w:pPr>
        <w:spacing w:after="0" w:line="240" w:lineRule="auto"/>
        <w:rPr>
          <w:rFonts w:ascii="Arial Unicode MS" w:eastAsia="Times New Roman" w:hAnsi="Arial Unicode MS" w:cs="Calibri"/>
          <w:lang w:eastAsia="en-AU"/>
        </w:rPr>
      </w:pPr>
    </w:p>
    <w:p w:rsidR="005316B5" w:rsidRDefault="005316B5" w:rsidP="005316B5">
      <w:pPr>
        <w:spacing w:after="0" w:line="240" w:lineRule="auto"/>
        <w:rPr>
          <w:rFonts w:ascii="Arial Unicode MS" w:eastAsia="Times New Roman" w:hAnsi="Arial Unicode MS" w:cs="Calibri"/>
          <w:lang w:eastAsia="en-AU"/>
        </w:rPr>
      </w:pPr>
      <w:r w:rsidRPr="00BF6068">
        <w:rPr>
          <w:rFonts w:eastAsiaTheme="majorEastAsia" w:cstheme="majorBidi"/>
          <w:b/>
          <w:bCs/>
          <w:color w:val="215868" w:themeColor="accent5" w:themeShade="80"/>
          <w:sz w:val="28"/>
          <w:szCs w:val="26"/>
        </w:rPr>
        <w:t>Q.</w:t>
      </w:r>
      <w:r>
        <w:rPr>
          <w:rFonts w:ascii="Arial Unicode MS" w:eastAsia="Times New Roman" w:hAnsi="Arial Unicode MS" w:cs="Calibri"/>
          <w:lang w:eastAsia="en-AU"/>
        </w:rPr>
        <w:t xml:space="preserve"> </w:t>
      </w:r>
      <w:r w:rsidR="006911BC">
        <w:rPr>
          <w:rFonts w:ascii="Arial Unicode MS" w:eastAsia="Times New Roman" w:hAnsi="Arial Unicode MS" w:cs="Calibri"/>
          <w:lang w:eastAsia="en-AU"/>
        </w:rPr>
        <w:t>I</w:t>
      </w:r>
      <w:r w:rsidRPr="005316B5">
        <w:rPr>
          <w:rFonts w:ascii="Arial Unicode MS" w:eastAsia="Times New Roman" w:hAnsi="Arial Unicode MS" w:cs="Calibri"/>
          <w:lang w:eastAsia="en-AU"/>
        </w:rPr>
        <w:t>t appears that there is a 10% cap of client</w:t>
      </w:r>
      <w:r>
        <w:rPr>
          <w:rFonts w:ascii="Arial Unicode MS" w:eastAsia="Times New Roman" w:hAnsi="Arial Unicode MS" w:cs="Calibri"/>
          <w:lang w:eastAsia="en-AU"/>
        </w:rPr>
        <w:t>s</w:t>
      </w:r>
      <w:r w:rsidRPr="005316B5">
        <w:rPr>
          <w:rFonts w:ascii="Arial Unicode MS" w:eastAsia="Times New Roman" w:hAnsi="Arial Unicode MS" w:cs="Calibri"/>
          <w:lang w:eastAsia="en-AU"/>
        </w:rPr>
        <w:t xml:space="preserve"> who only provide year of birth. </w:t>
      </w:r>
      <w:r>
        <w:rPr>
          <w:rFonts w:ascii="Arial Unicode MS" w:eastAsia="Times New Roman" w:hAnsi="Arial Unicode MS" w:cs="Calibri"/>
          <w:lang w:eastAsia="en-AU"/>
        </w:rPr>
        <w:t xml:space="preserve"> Where do I find this information?</w:t>
      </w:r>
    </w:p>
    <w:p w:rsidR="00A04889" w:rsidRDefault="00A04889" w:rsidP="005316B5">
      <w:pPr>
        <w:spacing w:after="0" w:line="240" w:lineRule="auto"/>
        <w:ind w:left="993" w:hanging="273"/>
        <w:rPr>
          <w:rFonts w:ascii="Arial Unicode MS" w:eastAsia="Times New Roman" w:hAnsi="Arial Unicode MS" w:cs="Calibri"/>
          <w:lang w:eastAsia="en-AU"/>
        </w:rPr>
      </w:pPr>
    </w:p>
    <w:p w:rsidR="005316B5" w:rsidRDefault="005316B5" w:rsidP="005316B5">
      <w:pPr>
        <w:spacing w:after="0" w:line="240" w:lineRule="auto"/>
        <w:ind w:left="993" w:hanging="273"/>
        <w:rPr>
          <w:rFonts w:ascii="Arial Unicode MS" w:eastAsia="Times New Roman" w:hAnsi="Arial Unicode MS" w:cs="Calibri"/>
          <w:lang w:eastAsia="en-AU"/>
        </w:rPr>
      </w:pPr>
      <w:r w:rsidRPr="00BF6068">
        <w:rPr>
          <w:rFonts w:eastAsiaTheme="majorEastAsia" w:cstheme="majorBidi"/>
          <w:b/>
          <w:bCs/>
          <w:color w:val="215868" w:themeColor="accent5" w:themeShade="80"/>
          <w:sz w:val="28"/>
          <w:szCs w:val="26"/>
        </w:rPr>
        <w:t>A.</w:t>
      </w:r>
      <w:r>
        <w:rPr>
          <w:rFonts w:ascii="Arial Unicode MS" w:eastAsia="Times New Roman" w:hAnsi="Arial Unicode MS" w:cs="Calibri"/>
          <w:lang w:eastAsia="en-AU"/>
        </w:rPr>
        <w:t xml:space="preserve"> </w:t>
      </w:r>
      <w:r w:rsidRPr="005316B5">
        <w:rPr>
          <w:rFonts w:ascii="Arial Unicode MS" w:eastAsia="Times New Roman" w:hAnsi="Arial Unicode MS" w:cs="Calibri"/>
          <w:lang w:eastAsia="en-AU"/>
        </w:rPr>
        <w:t>Information on the clients with an estimated date of birth recorded is available in the Organisation Data Quality report.</w:t>
      </w:r>
    </w:p>
    <w:p w:rsidR="00116208" w:rsidRDefault="00116208" w:rsidP="005316B5">
      <w:pPr>
        <w:spacing w:after="0" w:line="240" w:lineRule="auto"/>
        <w:ind w:left="993" w:hanging="273"/>
        <w:rPr>
          <w:rFonts w:ascii="Arial Unicode MS" w:eastAsia="Times New Roman" w:hAnsi="Arial Unicode MS" w:cs="Calibri"/>
          <w:lang w:eastAsia="en-AU"/>
        </w:rPr>
      </w:pPr>
      <w:r>
        <w:rPr>
          <w:rFonts w:ascii="Arial Unicode MS" w:eastAsia="Times New Roman" w:hAnsi="Arial Unicode MS" w:cs="Calibri"/>
          <w:lang w:eastAsia="en-AU"/>
        </w:rPr>
        <w:tab/>
      </w:r>
    </w:p>
    <w:p w:rsidR="00116208" w:rsidRDefault="00116208" w:rsidP="00116208">
      <w:pPr>
        <w:spacing w:after="0" w:line="240" w:lineRule="auto"/>
        <w:rPr>
          <w:rFonts w:ascii="Arial Unicode MS" w:eastAsia="Times New Roman" w:hAnsi="Arial Unicode MS" w:cs="Calibri"/>
          <w:lang w:eastAsia="en-AU"/>
        </w:rPr>
      </w:pPr>
      <w:r>
        <w:rPr>
          <w:rFonts w:ascii="Arial Unicode MS" w:eastAsia="Times New Roman" w:hAnsi="Arial Unicode MS" w:cs="Calibri"/>
          <w:lang w:eastAsia="en-AU"/>
        </w:rPr>
        <w:t xml:space="preserve"> </w:t>
      </w:r>
    </w:p>
    <w:p w:rsidR="005316B5" w:rsidRDefault="005316B5" w:rsidP="005316B5">
      <w:pPr>
        <w:spacing w:after="0" w:line="240" w:lineRule="auto"/>
        <w:ind w:left="993" w:hanging="273"/>
        <w:rPr>
          <w:rFonts w:ascii="Arial Unicode MS" w:eastAsia="Times New Roman" w:hAnsi="Arial Unicode MS" w:cs="Calibri"/>
          <w:lang w:eastAsia="en-AU"/>
        </w:rPr>
      </w:pPr>
    </w:p>
    <w:p w:rsidR="005316B5" w:rsidRPr="00A04889" w:rsidRDefault="005316B5" w:rsidP="00A04889">
      <w:pPr>
        <w:rPr>
          <w:rFonts w:ascii="Arial Unicode MS" w:eastAsia="Times New Roman" w:hAnsi="Arial Unicode MS" w:cs="Calibri"/>
          <w:lang w:eastAsia="en-AU"/>
        </w:rPr>
      </w:pPr>
    </w:p>
    <w:p w:rsidR="003B729B" w:rsidRPr="003B729B" w:rsidRDefault="003B729B" w:rsidP="003B729B"/>
    <w:p w:rsidR="002F3FA1" w:rsidRPr="003B729B" w:rsidRDefault="002F3FA1" w:rsidP="001B2050">
      <w:pPr>
        <w:tabs>
          <w:tab w:val="left" w:pos="1490"/>
        </w:tabs>
      </w:pPr>
    </w:p>
    <w:sectPr w:rsidR="002F3FA1" w:rsidRPr="003B729B" w:rsidSect="00DC3DD6">
      <w:headerReference w:type="default" r:id="rId20"/>
      <w:footerReference w:type="default" r:id="rId21"/>
      <w:headerReference w:type="first" r:id="rId22"/>
      <w:footerReference w:type="first" r:id="rId23"/>
      <w:type w:val="continuous"/>
      <w:pgSz w:w="11906" w:h="16838" w:code="9"/>
      <w:pgMar w:top="720" w:right="720" w:bottom="720" w:left="72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778" w:rsidRDefault="00810778" w:rsidP="00B04ED8">
      <w:pPr>
        <w:spacing w:after="0" w:line="240" w:lineRule="auto"/>
      </w:pPr>
      <w:r>
        <w:separator/>
      </w:r>
    </w:p>
  </w:endnote>
  <w:endnote w:type="continuationSeparator" w:id="0">
    <w:p w:rsidR="00810778" w:rsidRDefault="00810778"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050" w:rsidRPr="00BF6068" w:rsidRDefault="007D2D96" w:rsidP="00B86C95">
    <w:pPr>
      <w:pStyle w:val="Footer"/>
      <w:ind w:left="567"/>
      <w:rPr>
        <w:rFonts w:ascii="Georgia" w:hAnsi="Georgia"/>
        <w:bCs/>
        <w:color w:val="215868" w:themeColor="accent5" w:themeShade="80"/>
        <w:sz w:val="52"/>
        <w:szCs w:val="36"/>
      </w:rPr>
    </w:pPr>
    <w:r>
      <w:rPr>
        <w:noProof/>
        <w:sz w:val="20"/>
        <w:szCs w:val="20"/>
        <w:lang w:eastAsia="en-AU"/>
      </w:rPr>
      <mc:AlternateContent>
        <mc:Choice Requires="wpg">
          <w:drawing>
            <wp:anchor distT="0" distB="0" distL="114300" distR="114300" simplePos="0" relativeHeight="251663360" behindDoc="0" locked="1" layoutInCell="1" allowOverlap="1" wp14:anchorId="02686438" wp14:editId="79D979D4">
              <wp:simplePos x="0" y="0"/>
              <wp:positionH relativeFrom="column">
                <wp:posOffset>-14605</wp:posOffset>
              </wp:positionH>
              <wp:positionV relativeFrom="page">
                <wp:posOffset>9934575</wp:posOffset>
              </wp:positionV>
              <wp:extent cx="7088400" cy="320400"/>
              <wp:effectExtent l="0" t="0" r="0" b="3810"/>
              <wp:wrapNone/>
              <wp:docPr id="5" name="Group 5" descr="Settlement Engagement and Transition Support (SETS) Program – December 2020"/>
              <wp:cNvGraphicFramePr/>
              <a:graphic xmlns:a="http://schemas.openxmlformats.org/drawingml/2006/main">
                <a:graphicData uri="http://schemas.microsoft.com/office/word/2010/wordprocessingGroup">
                  <wpg:wgp>
                    <wpg:cNvGrpSpPr/>
                    <wpg:grpSpPr>
                      <a:xfrm>
                        <a:off x="0" y="0"/>
                        <a:ext cx="7088400" cy="320400"/>
                        <a:chOff x="0" y="0"/>
                        <a:chExt cx="7086600" cy="320040"/>
                      </a:xfrm>
                    </wpg:grpSpPr>
                    <wps:wsp>
                      <wps:cNvPr id="1" name="Rectangle 1" descr="small rectangle containing the page number&#10;" title="page number"/>
                      <wps:cNvSpPr/>
                      <wps:spPr>
                        <a:xfrm>
                          <a:off x="6629400" y="0"/>
                          <a:ext cx="457200" cy="320040"/>
                        </a:xfrm>
                        <a:prstGeom prst="rect">
                          <a:avLst/>
                        </a:prstGeom>
                        <a:solidFill>
                          <a:schemeClr val="accent5">
                            <a:lumMod val="50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F52C0D" w:rsidRPr="008164DC" w:rsidRDefault="00F52C0D" w:rsidP="00F52C0D">
                            <w:pPr>
                              <w:jc w:val="center"/>
                              <w:rPr>
                                <w:color w:val="FFFFFF" w:themeColor="background1"/>
                                <w:sz w:val="24"/>
                                <w:szCs w:val="24"/>
                              </w:rPr>
                            </w:pPr>
                            <w:r w:rsidRPr="008164DC">
                              <w:rPr>
                                <w:color w:val="FFFFFF" w:themeColor="background1"/>
                                <w:sz w:val="24"/>
                                <w:szCs w:val="24"/>
                              </w:rPr>
                              <w:fldChar w:fldCharType="begin"/>
                            </w:r>
                            <w:r w:rsidRPr="008164DC">
                              <w:rPr>
                                <w:color w:val="FFFFFF" w:themeColor="background1"/>
                                <w:sz w:val="24"/>
                                <w:szCs w:val="24"/>
                              </w:rPr>
                              <w:instrText xml:space="preserve"> PAGE   \* MERGEFORMAT </w:instrText>
                            </w:r>
                            <w:r w:rsidRPr="008164DC">
                              <w:rPr>
                                <w:color w:val="FFFFFF" w:themeColor="background1"/>
                                <w:sz w:val="24"/>
                                <w:szCs w:val="24"/>
                              </w:rPr>
                              <w:fldChar w:fldCharType="separate"/>
                            </w:r>
                            <w:r w:rsidR="0099247B">
                              <w:rPr>
                                <w:noProof/>
                                <w:color w:val="FFFFFF" w:themeColor="background1"/>
                                <w:sz w:val="24"/>
                                <w:szCs w:val="24"/>
                              </w:rPr>
                              <w:t>2</w:t>
                            </w:r>
                            <w:r w:rsidRPr="008164DC">
                              <w:rPr>
                                <w:noProof/>
                                <w:color w:val="FFFFFF" w:themeColor="background1"/>
                                <w:sz w:val="24"/>
                                <w:szCs w:val="24"/>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4" name="Straight Connector 4"/>
                      <wps:cNvCnPr/>
                      <wps:spPr>
                        <a:xfrm>
                          <a:off x="0" y="0"/>
                          <a:ext cx="6753225" cy="0"/>
                        </a:xfrm>
                        <a:prstGeom prst="line">
                          <a:avLst/>
                        </a:prstGeom>
                        <a:ln>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2686438" id="Group 5" o:spid="_x0000_s1026" alt="Settlement Engagement and Transition Support (SETS) Program – December 2020" style="position:absolute;left:0;text-align:left;margin-left:-1.15pt;margin-top:782.25pt;width:558.15pt;height:25.25pt;z-index:251663360;mso-position-vertical-relative:page;mso-width-relative:margin;mso-height-relative:margin" coordsize="70866,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JR31AMAAC8KAAAOAAAAZHJzL2Uyb0RvYy54bWy8VttuGzcQfS/QfyBYoGgfYq0USXa2XgeC&#10;fEEBJzEiF3mmuNwLwCVZkrLkPPUf+of9kh5yL5ZttTFSpH5Y8zYznDNzDnX6dtdIciesq7XK6Pgo&#10;oUQorvNalRn97fby1QklzjOVM6mVyOi9cPTt2fffnW5NKia60jIXlsCJcunWZLTy3qSjkeOVaJg7&#10;0kYobBbaNsxjastRbtkW3hs5miTJfLTVNjdWc+EcVs/bTXoW/ReF4P5DUTjhicwo7ubj18bvOnxH&#10;Z6csLS0zVc27a7CvuEXDaoWgg6tz5hnZ2PqZq6bmVjtd+COum5EuipqLmAOyGSdPsrmyemNiLmW6&#10;Lc0AE6B9gtNXu+Xv724sqfOMzihRrEGJYlSCaS4cB1Qr4b0UjVCeXKiSle0QJSW3lilXe5SerDbG&#10;aOvJT6uL29XP5MZqgNqQv/74k5wLLpo1qjxJJhHwrSlTxL2yZmVuLCoQFsp2FjDcFbYJ/4EO2cVS&#10;3Q+lEjtPOBaPk5OTaYKKcuy9niRhHGvJKxT8mRmvLh4M5/M9Q1gGw1EfdvToMluDtnQPyLv/hvyq&#10;YkbEgrqAQIf8uEf+I9qVqVIKgqUOfdcwKYkddrhWHs2GXie+EsSgHkRtAr4//rBb/IIWr1GtjO5t&#10;hPxCIog4AO5SB+wPoD2fT95EYJ9jPp0dg3ID5E+RY6mxzl8J3ZAwyGi4dCQFu7t2vgW5PxIiOy3r&#10;/LKWMk4C48VSWnLHwFXGORpuFs3lpnmn83Z9luCvK1gUiWASy/fIm1Rki744GeNw8K50iNNeQSqc&#10;D3i0CMSRv5cinJPqoyhAB3TYJBoOMfavNW63KpaLL90qOgyeC8QffHcODqU87pLrzgdTEXVsMG4z&#10;+oeLtSkOFjEyOmYwbmql7aHMpB8it+d7kFpoAkp+t951rbTW+T261+pWUJ3hlzVqfs2cv2EWCoo2&#10;wavgP+BTSI1a6G5ESaXt50Pr4TzohV1KtlDkjLrfN8wKSuSvCsR7M56Cq8THSexFSuz+znp/B5xY&#10;ajQSmITbxSGMrZf9sLC6+YTHYxGiYospjtgZXffDpW/fCTw+XCwW8RBE2zB/rVaGB9cB3tDRt7tP&#10;zJqu7T006r3uqc7SJ93fng2WSi82Xhd1pEYAuEW1Ax6y09L2m+vPtNeflbesLitPllopkFdbMt0T&#10;j6Xq1LqnTq+Z/y7V8+PZ68kE70mQ6p67vcb3etBhJ2sV9PEZaEFVwnLg7jcUDrwCL1SHFzD4MPVf&#10;wN7/m/p+90Xqt50ZxCX0aWzN+FDiVwnWHv3s2Z/H8w+/887+BgAA//8DAFBLAwQUAAYACAAAACEA&#10;eswqKuIAAAANAQAADwAAAGRycy9kb3ducmV2LnhtbEyPQWvCQBCF74X+h2UKvelm1YSSZiMibU9S&#10;qBZKb2MyJsHsbsiuSfz3HU/1NjPv8eZ72XoyrRio942zGtQ8AkG2cGVjKw3fh/fZCwgf0JbYOksa&#10;ruRhnT8+ZJiWbrRfNOxDJTjE+hQ11CF0qZS+qMmgn7uOLGsn1xsMvPaVLHscOdy0chFFiTTYWP5Q&#10;Y0fbmorz/mI0fIw4bpbqbdidT9vr7yH+/Nkp0vr5adq8ggg0hX8z3PAZHXJmOrqLLb1oNcwWS3by&#10;PU5WMYibQ6kV1zvylKg4Apln8r5F/gcAAP//AwBQSwECLQAUAAYACAAAACEAtoM4kv4AAADhAQAA&#10;EwAAAAAAAAAAAAAAAAAAAAAAW0NvbnRlbnRfVHlwZXNdLnhtbFBLAQItABQABgAIAAAAIQA4/SH/&#10;1gAAAJQBAAALAAAAAAAAAAAAAAAAAC8BAABfcmVscy8ucmVsc1BLAQItABQABgAIAAAAIQBq3JR3&#10;1AMAAC8KAAAOAAAAAAAAAAAAAAAAAC4CAABkcnMvZTJvRG9jLnhtbFBLAQItABQABgAIAAAAIQB6&#10;zCoq4gAAAA0BAAAPAAAAAAAAAAAAAAAAAC4GAABkcnMvZG93bnJldi54bWxQSwUGAAAAAAQABADz&#10;AAAAPQcAAAAA&#10;">
              <v:rect id="Rectangle 1" o:spid="_x0000_s1027" alt="small rectangle containing the page number&#10;" style="position:absolute;left:66294;width:4572;height:320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xewAAAANoAAAAPAAAAZHJzL2Rvd25yZXYueG1sRE9La8JA&#10;EL4X/A/LCL0Us0kPItGNiBgotJdG2/OQnTwwOxuzWxP/fVcQPA0f33M228l04kqDay0rSKIYBHFp&#10;dcu1gtMxX6xAOI+ssbNMCm7kYJvNXjaYajvyN10LX4sQwi5FBY33fSqlKxsy6CLbEweusoNBH+BQ&#10;Sz3gGMJNJ9/jeCkNthwaGuxp31B5Lv6MgirG8ZC71eVLV8Ub/37ekp/TXqnX+bRbg/A0+af44f7Q&#10;YT7cX7lfmf0DAAD//wMAUEsBAi0AFAAGAAgAAAAhANvh9svuAAAAhQEAABMAAAAAAAAAAAAAAAAA&#10;AAAAAFtDb250ZW50X1R5cGVzXS54bWxQSwECLQAUAAYACAAAACEAWvQsW78AAAAVAQAACwAAAAAA&#10;AAAAAAAAAAAfAQAAX3JlbHMvLnJlbHNQSwECLQAUAAYACAAAACEAPlnsXsAAAADaAAAADwAAAAAA&#10;AAAAAAAAAAAHAgAAZHJzL2Rvd25yZXYueG1sUEsFBgAAAAADAAMAtwAAAPQCAAAAAA==&#10;" fillcolor="#205867 [1608]" stroked="f" strokeweight="3pt">
                <v:textbox>
                  <w:txbxContent>
                    <w:p w:rsidR="00F52C0D" w:rsidRPr="008164DC" w:rsidRDefault="00F52C0D" w:rsidP="00F52C0D">
                      <w:pPr>
                        <w:jc w:val="center"/>
                        <w:rPr>
                          <w:color w:val="FFFFFF" w:themeColor="background1"/>
                          <w:sz w:val="24"/>
                          <w:szCs w:val="24"/>
                        </w:rPr>
                      </w:pPr>
                      <w:r w:rsidRPr="008164DC">
                        <w:rPr>
                          <w:color w:val="FFFFFF" w:themeColor="background1"/>
                          <w:sz w:val="24"/>
                          <w:szCs w:val="24"/>
                        </w:rPr>
                        <w:fldChar w:fldCharType="begin"/>
                      </w:r>
                      <w:r w:rsidRPr="008164DC">
                        <w:rPr>
                          <w:color w:val="FFFFFF" w:themeColor="background1"/>
                          <w:sz w:val="24"/>
                          <w:szCs w:val="24"/>
                        </w:rPr>
                        <w:instrText xml:space="preserve"> PAGE   \* MERGEFORMAT </w:instrText>
                      </w:r>
                      <w:r w:rsidRPr="008164DC">
                        <w:rPr>
                          <w:color w:val="FFFFFF" w:themeColor="background1"/>
                          <w:sz w:val="24"/>
                          <w:szCs w:val="24"/>
                        </w:rPr>
                        <w:fldChar w:fldCharType="separate"/>
                      </w:r>
                      <w:r w:rsidR="0099247B">
                        <w:rPr>
                          <w:noProof/>
                          <w:color w:val="FFFFFF" w:themeColor="background1"/>
                          <w:sz w:val="24"/>
                          <w:szCs w:val="24"/>
                        </w:rPr>
                        <w:t>2</w:t>
                      </w:r>
                      <w:r w:rsidRPr="008164DC">
                        <w:rPr>
                          <w:noProof/>
                          <w:color w:val="FFFFFF" w:themeColor="background1"/>
                          <w:sz w:val="24"/>
                          <w:szCs w:val="24"/>
                        </w:rPr>
                        <w:fldChar w:fldCharType="end"/>
                      </w:r>
                    </w:p>
                  </w:txbxContent>
                </v:textbox>
              </v:rect>
              <v:line id="Straight Connector 4" o:spid="_x0000_s1028" style="position:absolute;visibility:visible;mso-wrap-style:square" from="0,0" to="675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4AuwgAAANoAAAAPAAAAZHJzL2Rvd25yZXYueG1sRI/RisIw&#10;FETfBf8hXGHfNHVZZKnGIqIiglBrP+DaXNvS5qY0Wa1/bxYW9nGYmTPMKhlMKx7Uu9qygvksAkFc&#10;WF1zqSC/7qffIJxH1thaJgUvcpCsx6MVxto++UKPzJciQNjFqKDyvouldEVFBt3MdsTBu9veoA+y&#10;L6Xu8RngppWfUbSQBmsOCxV2tK2oaLIfo+B0fQ2X9HDLUq3T865r811T5Ep9TIbNEoSnwf+H/9pH&#10;reALfq+EGyDXbwAAAP//AwBQSwECLQAUAAYACAAAACEA2+H2y+4AAACFAQAAEwAAAAAAAAAAAAAA&#10;AAAAAAAAW0NvbnRlbnRfVHlwZXNdLnhtbFBLAQItABQABgAIAAAAIQBa9CxbvwAAABUBAAALAAAA&#10;AAAAAAAAAAAAAB8BAABfcmVscy8ucmVsc1BLAQItABQABgAIAAAAIQAek4AuwgAAANoAAAAPAAAA&#10;AAAAAAAAAAAAAAcCAABkcnMvZG93bnJldi54bWxQSwUGAAAAAAMAAwC3AAAA9gIAAAAA&#10;" strokecolor="#205867 [1608]"/>
              <w10:wrap anchory="page"/>
              <w10:anchorlock/>
            </v:group>
          </w:pict>
        </mc:Fallback>
      </mc:AlternateContent>
    </w:r>
    <w:r w:rsidR="003A0DB1">
      <w:rPr>
        <w:noProof/>
        <w:sz w:val="20"/>
        <w:szCs w:val="20"/>
        <w:lang w:eastAsia="en-AU"/>
      </w:rPr>
      <w:br/>
    </w:r>
    <w:r w:rsidR="001B2050" w:rsidRPr="00B86C95">
      <w:rPr>
        <w:rFonts w:asciiTheme="minorHAnsi" w:hAnsiTheme="minorHAnsi" w:cstheme="minorHAnsi"/>
        <w:noProof/>
        <w:sz w:val="20"/>
        <w:szCs w:val="20"/>
        <w:lang w:eastAsia="en-AU"/>
      </w:rPr>
      <w:t>Settlement Engagement and Transition Support (SETS) Program</w:t>
    </w:r>
    <w:r w:rsidR="001B2050">
      <w:rPr>
        <w:rFonts w:asciiTheme="minorHAnsi" w:hAnsiTheme="minorHAnsi" w:cstheme="minorHAnsi"/>
        <w:noProof/>
        <w:sz w:val="20"/>
        <w:szCs w:val="20"/>
        <w:lang w:eastAsia="en-AU"/>
      </w:rPr>
      <w:t xml:space="preserve"> – December 2020</w:t>
    </w:r>
  </w:p>
  <w:p w:rsidR="00DC3DD6" w:rsidRPr="003A0DB1" w:rsidRDefault="00DC3DD6" w:rsidP="00DE5A4D">
    <w:pPr>
      <w:pStyle w:val="Footer"/>
      <w:ind w:left="567"/>
      <w:rPr>
        <w:rFonts w:asciiTheme="minorHAnsi" w:hAnsiTheme="minorHAnsi" w:cs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8C4" w:rsidRDefault="00E56F12">
    <w:pPr>
      <w:pStyle w:val="Footer"/>
    </w:pPr>
    <w:r>
      <w:rPr>
        <w:noProof/>
        <w:color w:val="808080" w:themeColor="background1" w:themeShade="80"/>
        <w:lang w:eastAsia="en-AU"/>
      </w:rPr>
      <mc:AlternateContent>
        <mc:Choice Requires="wpg">
          <w:drawing>
            <wp:anchor distT="0" distB="0" distL="0" distR="0" simplePos="0" relativeHeight="251659264" behindDoc="0" locked="0" layoutInCell="1" allowOverlap="1" wp14:anchorId="35EF74EB" wp14:editId="3E652194">
              <wp:simplePos x="0" y="0"/>
              <wp:positionH relativeFrom="margin">
                <wp:align>right</wp:align>
              </wp:positionH>
              <mc:AlternateContent>
                <mc:Choice Requires="wp14">
                  <wp:positionV relativeFrom="bottomMargin">
                    <wp14:pctPosVOffset>20000</wp14:pctPosVOffset>
                  </wp:positionV>
                </mc:Choice>
                <mc:Fallback>
                  <wp:positionV relativeFrom="page">
                    <wp:posOffset>10326370</wp:posOffset>
                  </wp:positionV>
                </mc:Fallback>
              </mc:AlternateContent>
              <wp:extent cx="5943600" cy="320040"/>
              <wp:effectExtent l="0" t="0" r="2540" b="3810"/>
              <wp:wrapSquare wrapText="bothSides"/>
              <wp:docPr id="37" name="Group 37" descr="Settlement Engagement and Transition Support (SETS) Program – December 2020"/>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6F12" w:rsidRDefault="002739DB">
                            <w:pPr>
                              <w:jc w:val="right"/>
                              <w:rPr>
                                <w:color w:val="7F7F7F" w:themeColor="text1" w:themeTint="80"/>
                              </w:rPr>
                            </w:pPr>
                            <w:r>
                              <w:rPr>
                                <w:color w:val="7F7F7F" w:themeColor="text1" w:themeTint="80"/>
                              </w:rPr>
                              <w:t>Document Name</w:t>
                            </w:r>
                            <w:r>
                              <w:rPr>
                                <w:color w:val="7F7F7F" w:themeColor="text1" w:themeTint="80"/>
                              </w:rPr>
                              <w:tab/>
                            </w:r>
                            <w:r>
                              <w:rPr>
                                <w:color w:val="7F7F7F" w:themeColor="text1" w:themeTint="80"/>
                              </w:rPr>
                              <w:tab/>
                            </w:r>
                            <w:r>
                              <w:rPr>
                                <w:color w:val="7F7F7F" w:themeColor="text1" w:themeTint="80"/>
                              </w:rPr>
                              <w:tab/>
                            </w:r>
                            <w:r>
                              <w:rPr>
                                <w:color w:val="7F7F7F" w:themeColor="text1" w:themeTint="80"/>
                              </w:rPr>
                              <w:tab/>
                            </w:r>
                            <w:r>
                              <w:rPr>
                                <w:color w:val="7F7F7F" w:themeColor="text1" w:themeTint="80"/>
                              </w:rPr>
                              <w:tab/>
                            </w:r>
                            <w:r>
                              <w:rPr>
                                <w:color w:val="7F7F7F" w:themeColor="text1" w:themeTint="80"/>
                              </w:rPr>
                              <w:tab/>
                            </w:r>
                            <w:r>
                              <w:rPr>
                                <w:color w:val="7F7F7F" w:themeColor="text1" w:themeTint="80"/>
                              </w:rPr>
                              <w:tab/>
                            </w:r>
                            <w:r>
                              <w:rPr>
                                <w:color w:val="7F7F7F" w:themeColor="text1" w:themeTint="80"/>
                              </w:rPr>
                              <w:tab/>
                            </w:r>
                            <w:r>
                              <w:rPr>
                                <w:color w:val="7F7F7F" w:themeColor="text1" w:themeTint="80"/>
                              </w:rPr>
                              <w:tab/>
                            </w:r>
                            <w:r>
                              <w:rPr>
                                <w:color w:val="7F7F7F" w:themeColor="text1" w:themeTint="80"/>
                              </w:rPr>
                              <w:tab/>
                            </w:r>
                            <w:r>
                              <w:rPr>
                                <w:color w:val="7F7F7F" w:themeColor="text1" w:themeTint="80"/>
                              </w:rPr>
                              <w:tab/>
                              <w:t>Date</w:t>
                            </w:r>
                          </w:p>
                          <w:p w:rsidR="00E56F12" w:rsidRDefault="00E56F12">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35EF74EB" id="Group 37" o:spid="_x0000_s1029" alt="Settlement Engagement and Transition Support (SETS) Program – December 2020" style="position:absolute;margin-left:416.8pt;margin-top:0;width:468pt;height:25.2pt;z-index:251659264;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8VtwMAAOoKAAAOAAAAZHJzL2Uyb0RvYy54bWzMVstu2zgU3Q8w/0BwNbOYSLJj2RaiFGle&#10;KBC0Qe1B1zRFPVCK5JB0pHTVf5g/nC+ZS+rh2DXaIEWLeiHzcR/kufcc6exVW3P0wLSppEhxdBJi&#10;xASVWSWKFP+9vvlrgZGxRGSES8FS/MgMfnX++29njUrYRJaSZ0wjCCJM0qgUl9aqJAgMLVlNzIlU&#10;TMBmLnVNLEx1EWSaNBC95sEkDOOgkTpTWlJmDKxedZv43MfPc0btuzw3zCKeYjib9U/tnxv3DM7P&#10;SFJoosqK9scgLzhFTSoBScdQV8QStNXVF6HqimppZG5PqKwDmecVZf4OcJsoPLjNrZZb5e9SJE2h&#10;RpgA2gOcXhyWvn2416jKUjydYyRIDTXyaZGbZ8xQAGvFrOWsZsKia1GQohtCUdFaE2EqC8VHq61S&#10;Ulv0x+p6vfoT3WsJsNbov8//oitGWb2BOk/CiYe8UUUCmW+1Wql7DTVwC0U3cyi2ua7dP+CDWl+s&#10;x7FYrLWIwuJseTqNQ6gphb0p9MJpX01aQsm/cKPl9egYT+LZ6DhdzCLXBsGQNtg7TKOgMc0Oe/N9&#10;2K9KopgvqXEIDNgDSzrs30PHElFwhqYLdyqXHuxGmExiALEjGEXL0N3pGzhFi8Uk3rstSZQ29pbJ&#10;GrlBijWcwLcyebgztgNmMHF5jeRVdlNx7ieOp+ySa/RAgGG2HaDcs+LC2QrpvLqAbgVwHm7jR/aR&#10;M2fHxXuWQ0tCjSf+IF4MdkkIpdCJUbdVkox1uWch/PqrjR6+rD6gi5xD/jF2H2D/AkPs7pS9vXNl&#10;XktG5/BrB+ucRw+fWQo7OteVkPpYAA636jN39gNIHTQOpY3MHqFptOyUzCh6U0HZ7oix90SDdEEP&#10;gBzbd/DIuWxSLPsRRqXUn46tO3voatjFqAEpTLH5Z0s0w4i/EdDvy+gUuIWsn5zO5sBhpJ/ubJ7u&#10;iG19KaEXIhB+Rf3Q2Vs+DHMt6w+g2hcuK2wRQSF3iqnVw+TSdhINuk/ZxYU3A71UxN6JlaIuuEPV&#10;teW6/UC06nvXgji8lQPHSHLQwp2t8xTyYmtlXvn+3uHa4w1875j344m/HIi/drr2WrZoujzgPbIt&#10;rLs7Q2/sODPI1YFKxnE89wyHnh0F74lSTmbzaD7r22zQ2YHfz5SAkcmOrAh6LJ6C9nS47nN8IE6v&#10;JLvT+9ERxj+DWMfp/AzHn03n7OM36WzbTevfvmNxf2GCA1dfTO7Nr0Rt/4aHDyr/dug//twX29O5&#10;l4LdJ+r5/wAAAP//AwBQSwMEFAAGAAgAAAAhAP0EdPzcAAAABAEAAA8AAABkcnMvZG93bnJldi54&#10;bWxMj0FLxDAQhe+C/yGM4M1Nu6tFa9NFRBHEw7YK4i1txqbYTLpNdrf+e2e96OXB4w3vfVOsZzeI&#10;PU6h96QgXSQgkFpveuoUvL0+XlyDCFGT0YMnVPCNAdbl6Umhc+MPVOG+jp3gEgq5VmBjHHMpQ2vR&#10;6bDwIxJnn35yOrKdOmkmfeByN8hlkmTS6Z54weoR7y22X/XOKViuHl4+0vdtVT9XT1mz2aTWblOl&#10;zs/mu1sQEef4dwxHfEaHkpkavyMTxKCAH4m/ytnNKmPbKLhKLkGWhfwPX/4AAAD//wMAUEsBAi0A&#10;FAAGAAgAAAAhALaDOJL+AAAA4QEAABMAAAAAAAAAAAAAAAAAAAAAAFtDb250ZW50X1R5cGVzXS54&#10;bWxQSwECLQAUAAYACAAAACEAOP0h/9YAAACUAQAACwAAAAAAAAAAAAAAAAAvAQAAX3JlbHMvLnJl&#10;bHNQSwECLQAUAAYACAAAACEAqOP/FbcDAADqCgAADgAAAAAAAAAAAAAAAAAuAgAAZHJzL2Uyb0Rv&#10;Yy54bWxQSwECLQAUAAYACAAAACEA/QR0/NwAAAAEAQAADwAAAAAAAAAAAAAAAAARBgAAZHJzL2Rv&#10;d25yZXYueG1sUEsFBgAAAAAEAAQA8wAAABoHAAAAAA==&#10;">
              <v:rect id="Rectangle 38" o:spid="_x0000_s1030"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azAwAAAANsAAAAPAAAAZHJzL2Rvd25yZXYueG1sRE/Pa8Iw&#10;FL4P9j+EJ3ibqSvI7JqKjAmeBu1Ednw0z6a0eSlNrPW/N4eBx4/vd76bbS8mGn3rWMF6lYAgrp1u&#10;uVFw+j28fYDwAVlj75gU3MnDrnh9yTHT7sYlTVVoRAxhn6ECE8KQSelrQxb9yg3Ekbu40WKIcGyk&#10;HvEWw20v35NkIy22HBsMDvRlqO6qq1XQ/B2+p7kz5EqfVtdu2J5+zlqp5WLef4IINIen+N991ArS&#10;ODZ+iT9AFg8AAAD//wMAUEsBAi0AFAAGAAgAAAAhANvh9svuAAAAhQEAABMAAAAAAAAAAAAAAAAA&#10;AAAAAFtDb250ZW50X1R5cGVzXS54bWxQSwECLQAUAAYACAAAACEAWvQsW78AAAAVAQAACwAAAAAA&#10;AAAAAAAAAAAfAQAAX3JlbHMvLnJlbHNQSwECLQAUAAYACAAAACEASeWswMAAAADbAAAADwAAAAAA&#10;AAAAAAAAAAAHAgAAZHJzL2Rvd25yZXYueG1sUEsFBgAAAAADAAMAtwAAAPQCAAAAAA==&#10;" fillcolor="black [3213]" stroked="f" strokeweight="2pt"/>
              <v:shapetype id="_x0000_t202" coordsize="21600,21600" o:spt="202" path="m,l,21600r21600,l21600,xe">
                <v:stroke joinstyle="miter"/>
                <v:path gradientshapeok="t" o:connecttype="rect"/>
              </v:shapetype>
              <v:shape id="Text Box 39" o:spid="_x0000_s1031"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rsidR="00E56F12" w:rsidRDefault="002739DB">
                      <w:pPr>
                        <w:jc w:val="right"/>
                        <w:rPr>
                          <w:color w:val="7F7F7F" w:themeColor="text1" w:themeTint="80"/>
                        </w:rPr>
                      </w:pPr>
                      <w:r>
                        <w:rPr>
                          <w:color w:val="7F7F7F" w:themeColor="text1" w:themeTint="80"/>
                        </w:rPr>
                        <w:t>Document Name</w:t>
                      </w:r>
                      <w:r>
                        <w:rPr>
                          <w:color w:val="7F7F7F" w:themeColor="text1" w:themeTint="80"/>
                        </w:rPr>
                        <w:tab/>
                      </w:r>
                      <w:r>
                        <w:rPr>
                          <w:color w:val="7F7F7F" w:themeColor="text1" w:themeTint="80"/>
                        </w:rPr>
                        <w:tab/>
                      </w:r>
                      <w:r>
                        <w:rPr>
                          <w:color w:val="7F7F7F" w:themeColor="text1" w:themeTint="80"/>
                        </w:rPr>
                        <w:tab/>
                      </w:r>
                      <w:r>
                        <w:rPr>
                          <w:color w:val="7F7F7F" w:themeColor="text1" w:themeTint="80"/>
                        </w:rPr>
                        <w:tab/>
                      </w:r>
                      <w:r>
                        <w:rPr>
                          <w:color w:val="7F7F7F" w:themeColor="text1" w:themeTint="80"/>
                        </w:rPr>
                        <w:tab/>
                      </w:r>
                      <w:r>
                        <w:rPr>
                          <w:color w:val="7F7F7F" w:themeColor="text1" w:themeTint="80"/>
                        </w:rPr>
                        <w:tab/>
                      </w:r>
                      <w:r>
                        <w:rPr>
                          <w:color w:val="7F7F7F" w:themeColor="text1" w:themeTint="80"/>
                        </w:rPr>
                        <w:tab/>
                      </w:r>
                      <w:r>
                        <w:rPr>
                          <w:color w:val="7F7F7F" w:themeColor="text1" w:themeTint="80"/>
                        </w:rPr>
                        <w:tab/>
                      </w:r>
                      <w:r>
                        <w:rPr>
                          <w:color w:val="7F7F7F" w:themeColor="text1" w:themeTint="80"/>
                        </w:rPr>
                        <w:tab/>
                      </w:r>
                      <w:r>
                        <w:rPr>
                          <w:color w:val="7F7F7F" w:themeColor="text1" w:themeTint="80"/>
                        </w:rPr>
                        <w:tab/>
                      </w:r>
                      <w:r>
                        <w:rPr>
                          <w:color w:val="7F7F7F" w:themeColor="text1" w:themeTint="80"/>
                        </w:rPr>
                        <w:tab/>
                        <w:t>Date</w:t>
                      </w:r>
                    </w:p>
                    <w:p w:rsidR="00E56F12" w:rsidRDefault="00E56F12">
                      <w:pPr>
                        <w:jc w:val="right"/>
                        <w:rPr>
                          <w:color w:val="808080" w:themeColor="background1" w:themeShade="80"/>
                        </w:rPr>
                      </w:pPr>
                    </w:p>
                  </w:txbxContent>
                </v:textbox>
              </v:shape>
              <w10:wrap type="square" anchorx="margin" anchory="margin"/>
            </v:group>
          </w:pict>
        </mc:Fallback>
      </mc:AlternateContent>
    </w:r>
    <w:r>
      <w:rPr>
        <w:noProof/>
        <w:lang w:eastAsia="en-AU"/>
      </w:rPr>
      <mc:AlternateContent>
        <mc:Choice Requires="wps">
          <w:drawing>
            <wp:anchor distT="0" distB="0" distL="0" distR="0" simplePos="0" relativeHeight="251658240" behindDoc="0" locked="0" layoutInCell="1" allowOverlap="1" wp14:anchorId="48C60C2C" wp14:editId="70CDD2EA">
              <wp:simplePos x="0" y="0"/>
              <wp:positionH relativeFrom="rightMargin">
                <wp:align>left</wp:align>
              </wp:positionH>
              <mc:AlternateContent>
                <mc:Choice Requires="wp14">
                  <wp:positionV relativeFrom="bottomMargin">
                    <wp14:pctPosVOffset>20000</wp14:pctPosVOffset>
                  </wp:positionV>
                </mc:Choice>
                <mc:Fallback>
                  <wp:positionV relativeFrom="page">
                    <wp:posOffset>10326370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5">
                          <a:lumMod val="50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E56F12" w:rsidRDefault="00E56F12" w:rsidP="00E56F12">
                          <w:pPr>
                            <w:shd w:val="clear" w:color="auto" w:fill="215868" w:themeFill="accent5" w:themeFillShade="80"/>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99247B">
                            <w:rPr>
                              <w:noProof/>
                              <w:color w:val="FFFFFF" w:themeColor="background1"/>
                              <w:sz w:val="28"/>
                              <w:szCs w:val="28"/>
                            </w:rPr>
                            <w:t>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60C2C" id="Rectangle 40" o:spid="_x0000_s1032"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62fpQIAAMcFAAAOAAAAZHJzL2Uyb0RvYy54bWysVMFu2zAMvQ/YPwi6r46zdGuDOkWQosOA&#10;ri3aDj0rshQbkERNUmJnXz9Kctyg6zBgWA4OJZKP5BPJi8teK7ITzrdgKlqeTCgRhkPdmk1Fvz9d&#10;fzijxAdmaqbAiIruhaeXi/fvLjo7F1NoQNXCEQQxft7ZijYh2HlReN4IzfwJWGFQKcFpFvDoNkXt&#10;WIfoWhXTyeRT0YGrrQMuvMfbq6yki4QvpeDhTkovAlEVxdxC+rr0Xcdvsbhg841jtmn5kAb7hyw0&#10;aw0GHaGuWGBk69rfoHTLHXiQ4YSDLkDKlotUA1ZTTl5V89gwK1ItSI63I03+/8Hy2929I21d0RnS&#10;Y5jGN3pA1pjZKEHwDgnqrJ+j3aO9d8PJoxir7aXT8R/rIH0idT+SKvpAOF7OTj/jQ1HCUfURpYxZ&#10;vDhb58MXAZpEoaIOoycq2e7GBwyIpgeTGMuDauvrVql0iH0iVsqRHcMXZpwLE06Tu9rqb1Dn+9MJ&#10;/mIpiJVaK7rk0zGaMqTDJM9KNI7oBmKc7KYM2kcmcu1JCnslop0yD0IiiVjtNDmOMY7TKrOqYbX4&#10;W1YJMCJLjD9iDwBvlVwOxQ320VWk7h+dc0V/SCyXOHqkyGDC6KxbA+6tylQYI2f7A0mZmshS6Nd9&#10;arDpoZfWUO+x6RzkafSWX7f49DfMh3vmcPywW3ClhDv8SAX4JDBIlDTgfr51H+1xKlBLSYfjXFH/&#10;Y8ucoER9NTgv5+UsNnhIh9SSlLhjzfpYY7Z6BdhPJS4vy5OIzi6ogygd6GfcPMsYFVXMcIxd0fVB&#10;XIW8ZHBzcbFcJiOceMvCjXm0PEJHlmNjP/XPzNmh+wOOzS0cBp/NXw1Bto2eBpbbALJNExJ5zqwO&#10;/OO2SO09bLa4jo7Pyepl/y5+AQAA//8DAFBLAwQUAAYACAAAACEA+Fy0VdgAAAADAQAADwAAAGRy&#10;cy9kb3ducmV2LnhtbEyPwU7DMBBE70j8g7VI3KhDVUoV4lQVErdwaCgSRydeEot4HdlOm/w9Cxe4&#10;jDSa1czbYj+7QZwxROtJwf0qA4HUemOpU3B6e7nbgYhJk9GDJ1SwYIR9eX1V6Nz4Cx3xXKdOcAnF&#10;XCvoUxpzKWPbo9Nx5Uckzj59cDqxDZ00QV+43A1ynWVb6bQlXuj1iM89tl/15BTsQoXV5vCxnZb4&#10;WtnmuLy72ip1ezMfnkAknNPfMfzgMzqUzNT4iUwUgwJ+JP0qZ49rdo2Ch2wDsizkf/byGwAA//8D&#10;AFBLAQItABQABgAIAAAAIQC2gziS/gAAAOEBAAATAAAAAAAAAAAAAAAAAAAAAABbQ29udGVudF9U&#10;eXBlc10ueG1sUEsBAi0AFAAGAAgAAAAhADj9If/WAAAAlAEAAAsAAAAAAAAAAAAAAAAALwEAAF9y&#10;ZWxzLy5yZWxzUEsBAi0AFAAGAAgAAAAhANAHrZ+lAgAAxwUAAA4AAAAAAAAAAAAAAAAALgIAAGRy&#10;cy9lMm9Eb2MueG1sUEsBAi0AFAAGAAgAAAAhAPhctFXYAAAAAwEAAA8AAAAAAAAAAAAAAAAA/wQA&#10;AGRycy9kb3ducmV2LnhtbFBLBQYAAAAABAAEAPMAAAAEBgAAAAA=&#10;" fillcolor="#205867 [1608]" stroked="f" strokeweight="3pt">
              <v:textbox>
                <w:txbxContent>
                  <w:p w:rsidR="00E56F12" w:rsidRDefault="00E56F12" w:rsidP="00E56F12">
                    <w:pPr>
                      <w:shd w:val="clear" w:color="auto" w:fill="215868" w:themeFill="accent5" w:themeFillShade="80"/>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99247B">
                      <w:rPr>
                        <w:noProof/>
                        <w:color w:val="FFFFFF" w:themeColor="background1"/>
                        <w:sz w:val="28"/>
                        <w:szCs w:val="28"/>
                      </w:rPr>
                      <w:t>1</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778" w:rsidRDefault="00810778" w:rsidP="00B04ED8">
      <w:pPr>
        <w:spacing w:after="0" w:line="240" w:lineRule="auto"/>
      </w:pPr>
      <w:r>
        <w:separator/>
      </w:r>
    </w:p>
  </w:footnote>
  <w:footnote w:type="continuationSeparator" w:id="0">
    <w:p w:rsidR="00810778" w:rsidRDefault="00810778"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6C6" w:rsidRDefault="002D06C6" w:rsidP="002D06C6">
    <w:pPr>
      <w:pStyle w:val="Header"/>
      <w:ind w:left="-709"/>
    </w:pPr>
    <w:r>
      <w:rPr>
        <w:noProof/>
        <w:lang w:eastAsia="en-AU"/>
      </w:rPr>
      <w:drawing>
        <wp:inline distT="0" distB="0" distL="0" distR="0" wp14:anchorId="7139F813" wp14:editId="57EEE231">
          <wp:extent cx="7531451" cy="1296063"/>
          <wp:effectExtent l="0" t="0" r="0" b="0"/>
          <wp:docPr id="3" name="Picture 3" descr="Blurred image of person's hand on laptop keyboard. The laptop screen has graphs on it." title="Data Exchange Documen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X Header test3.png"/>
                  <pic:cNvPicPr/>
                </pic:nvPicPr>
                <pic:blipFill>
                  <a:blip r:embed="rId1">
                    <a:extLst>
                      <a:ext uri="{28A0092B-C50C-407E-A947-70E740481C1C}">
                        <a14:useLocalDpi xmlns:a14="http://schemas.microsoft.com/office/drawing/2010/main" val="0"/>
                      </a:ext>
                    </a:extLst>
                  </a:blip>
                  <a:stretch>
                    <a:fillRect/>
                  </a:stretch>
                </pic:blipFill>
                <pic:spPr>
                  <a:xfrm>
                    <a:off x="0" y="0"/>
                    <a:ext cx="7692536" cy="1323784"/>
                  </a:xfrm>
                  <a:prstGeom prst="rect">
                    <a:avLst/>
                  </a:prstGeom>
                </pic:spPr>
              </pic:pic>
            </a:graphicData>
          </a:graphic>
        </wp:inline>
      </w:drawing>
    </w:r>
  </w:p>
  <w:p w:rsidR="002D06C6" w:rsidRDefault="002D06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8C4" w:rsidRDefault="00271848" w:rsidP="00C708C4">
    <w:pPr>
      <w:pStyle w:val="Header"/>
      <w:ind w:left="-709"/>
    </w:pPr>
    <w:r>
      <w:rPr>
        <w:noProof/>
        <w:lang w:eastAsia="en-AU"/>
      </w:rPr>
      <w:drawing>
        <wp:inline distT="0" distB="0" distL="0" distR="0" wp14:anchorId="2723B0C8" wp14:editId="1F41AF51">
          <wp:extent cx="7538147" cy="1297172"/>
          <wp:effectExtent l="0" t="0" r="5715" b="0"/>
          <wp:docPr id="9" name="Picture 9" descr="Settlement Engagement and Transition Support (SETS) Program – December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X Header test3.png"/>
                  <pic:cNvPicPr/>
                </pic:nvPicPr>
                <pic:blipFill>
                  <a:blip r:embed="rId1">
                    <a:extLst>
                      <a:ext uri="{28A0092B-C50C-407E-A947-70E740481C1C}">
                        <a14:useLocalDpi xmlns:a14="http://schemas.microsoft.com/office/drawing/2010/main" val="0"/>
                      </a:ext>
                    </a:extLst>
                  </a:blip>
                  <a:stretch>
                    <a:fillRect/>
                  </a:stretch>
                </pic:blipFill>
                <pic:spPr>
                  <a:xfrm>
                    <a:off x="0" y="0"/>
                    <a:ext cx="7611484" cy="1309792"/>
                  </a:xfrm>
                  <a:prstGeom prst="rect">
                    <a:avLst/>
                  </a:prstGeom>
                </pic:spPr>
              </pic:pic>
            </a:graphicData>
          </a:graphic>
        </wp:inline>
      </w:drawing>
    </w:r>
  </w:p>
  <w:p w:rsidR="00B04ED8" w:rsidRDefault="00B04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96D0D"/>
    <w:multiLevelType w:val="hybridMultilevel"/>
    <w:tmpl w:val="D9CC2A4C"/>
    <w:lvl w:ilvl="0" w:tplc="5126A25A">
      <w:start w:val="1"/>
      <w:numFmt w:val="decimal"/>
      <w:lvlText w:val="%1."/>
      <w:lvlJc w:val="left"/>
      <w:pPr>
        <w:ind w:left="-349" w:hanging="360"/>
      </w:pPr>
      <w:rPr>
        <w:rFonts w:hint="default"/>
      </w:rPr>
    </w:lvl>
    <w:lvl w:ilvl="1" w:tplc="0C090019" w:tentative="1">
      <w:start w:val="1"/>
      <w:numFmt w:val="lowerLetter"/>
      <w:lvlText w:val="%2."/>
      <w:lvlJc w:val="left"/>
      <w:pPr>
        <w:ind w:left="371" w:hanging="360"/>
      </w:pPr>
    </w:lvl>
    <w:lvl w:ilvl="2" w:tplc="0C09001B" w:tentative="1">
      <w:start w:val="1"/>
      <w:numFmt w:val="lowerRoman"/>
      <w:lvlText w:val="%3."/>
      <w:lvlJc w:val="right"/>
      <w:pPr>
        <w:ind w:left="1091" w:hanging="180"/>
      </w:pPr>
    </w:lvl>
    <w:lvl w:ilvl="3" w:tplc="0C09000F" w:tentative="1">
      <w:start w:val="1"/>
      <w:numFmt w:val="decimal"/>
      <w:lvlText w:val="%4."/>
      <w:lvlJc w:val="left"/>
      <w:pPr>
        <w:ind w:left="1811" w:hanging="360"/>
      </w:pPr>
    </w:lvl>
    <w:lvl w:ilvl="4" w:tplc="0C090019" w:tentative="1">
      <w:start w:val="1"/>
      <w:numFmt w:val="lowerLetter"/>
      <w:lvlText w:val="%5."/>
      <w:lvlJc w:val="left"/>
      <w:pPr>
        <w:ind w:left="2531" w:hanging="360"/>
      </w:pPr>
    </w:lvl>
    <w:lvl w:ilvl="5" w:tplc="0C09001B" w:tentative="1">
      <w:start w:val="1"/>
      <w:numFmt w:val="lowerRoman"/>
      <w:lvlText w:val="%6."/>
      <w:lvlJc w:val="right"/>
      <w:pPr>
        <w:ind w:left="3251" w:hanging="180"/>
      </w:pPr>
    </w:lvl>
    <w:lvl w:ilvl="6" w:tplc="0C09000F" w:tentative="1">
      <w:start w:val="1"/>
      <w:numFmt w:val="decimal"/>
      <w:lvlText w:val="%7."/>
      <w:lvlJc w:val="left"/>
      <w:pPr>
        <w:ind w:left="3971" w:hanging="360"/>
      </w:pPr>
    </w:lvl>
    <w:lvl w:ilvl="7" w:tplc="0C090019" w:tentative="1">
      <w:start w:val="1"/>
      <w:numFmt w:val="lowerLetter"/>
      <w:lvlText w:val="%8."/>
      <w:lvlJc w:val="left"/>
      <w:pPr>
        <w:ind w:left="4691" w:hanging="360"/>
      </w:pPr>
    </w:lvl>
    <w:lvl w:ilvl="8" w:tplc="0C09001B" w:tentative="1">
      <w:start w:val="1"/>
      <w:numFmt w:val="lowerRoman"/>
      <w:lvlText w:val="%9."/>
      <w:lvlJc w:val="right"/>
      <w:pPr>
        <w:ind w:left="5411" w:hanging="180"/>
      </w:pPr>
    </w:lvl>
  </w:abstractNum>
  <w:abstractNum w:abstractNumId="1" w15:restartNumberingAfterBreak="0">
    <w:nsid w:val="621039AD"/>
    <w:multiLevelType w:val="hybridMultilevel"/>
    <w:tmpl w:val="A7669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gutterAtTop/>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47B"/>
    <w:rsid w:val="00005633"/>
    <w:rsid w:val="000C35D8"/>
    <w:rsid w:val="000F2664"/>
    <w:rsid w:val="00116208"/>
    <w:rsid w:val="0012394B"/>
    <w:rsid w:val="001902BE"/>
    <w:rsid w:val="001A03F3"/>
    <w:rsid w:val="001B2050"/>
    <w:rsid w:val="001E630D"/>
    <w:rsid w:val="00243FA2"/>
    <w:rsid w:val="00271848"/>
    <w:rsid w:val="002739DB"/>
    <w:rsid w:val="00284DC9"/>
    <w:rsid w:val="002A143B"/>
    <w:rsid w:val="002D06C6"/>
    <w:rsid w:val="002E2EDF"/>
    <w:rsid w:val="002E3986"/>
    <w:rsid w:val="002F3FA1"/>
    <w:rsid w:val="00311FC1"/>
    <w:rsid w:val="003370CB"/>
    <w:rsid w:val="00350D7C"/>
    <w:rsid w:val="003A0DB1"/>
    <w:rsid w:val="003B2BB8"/>
    <w:rsid w:val="003B729B"/>
    <w:rsid w:val="003C7518"/>
    <w:rsid w:val="003D34FF"/>
    <w:rsid w:val="004B54CA"/>
    <w:rsid w:val="004E5CBF"/>
    <w:rsid w:val="005127E5"/>
    <w:rsid w:val="005316B5"/>
    <w:rsid w:val="00534AE8"/>
    <w:rsid w:val="005C3AA9"/>
    <w:rsid w:val="005D3C58"/>
    <w:rsid w:val="0060303D"/>
    <w:rsid w:val="00621FC5"/>
    <w:rsid w:val="00633244"/>
    <w:rsid w:val="00637B02"/>
    <w:rsid w:val="00640E2E"/>
    <w:rsid w:val="00657F09"/>
    <w:rsid w:val="00683A84"/>
    <w:rsid w:val="006911BC"/>
    <w:rsid w:val="006A4CE7"/>
    <w:rsid w:val="006C1550"/>
    <w:rsid w:val="007267D3"/>
    <w:rsid w:val="00737EAB"/>
    <w:rsid w:val="0077244E"/>
    <w:rsid w:val="00785261"/>
    <w:rsid w:val="007B0256"/>
    <w:rsid w:val="007D2D96"/>
    <w:rsid w:val="0080349E"/>
    <w:rsid w:val="00810778"/>
    <w:rsid w:val="00822242"/>
    <w:rsid w:val="0083177B"/>
    <w:rsid w:val="0089464F"/>
    <w:rsid w:val="00912E67"/>
    <w:rsid w:val="009225F0"/>
    <w:rsid w:val="0093462C"/>
    <w:rsid w:val="00953795"/>
    <w:rsid w:val="00974189"/>
    <w:rsid w:val="0099247B"/>
    <w:rsid w:val="00A04889"/>
    <w:rsid w:val="00A12746"/>
    <w:rsid w:val="00A22E68"/>
    <w:rsid w:val="00A502F0"/>
    <w:rsid w:val="00A652F5"/>
    <w:rsid w:val="00A81D4B"/>
    <w:rsid w:val="00AE2692"/>
    <w:rsid w:val="00AF59D1"/>
    <w:rsid w:val="00B04ED8"/>
    <w:rsid w:val="00B2503C"/>
    <w:rsid w:val="00B86C95"/>
    <w:rsid w:val="00B91E3E"/>
    <w:rsid w:val="00BA2DB9"/>
    <w:rsid w:val="00BC3187"/>
    <w:rsid w:val="00BE7148"/>
    <w:rsid w:val="00BF6068"/>
    <w:rsid w:val="00C0733C"/>
    <w:rsid w:val="00C62EB4"/>
    <w:rsid w:val="00C708C4"/>
    <w:rsid w:val="00C73296"/>
    <w:rsid w:val="00C84DD7"/>
    <w:rsid w:val="00CA0913"/>
    <w:rsid w:val="00CB5863"/>
    <w:rsid w:val="00D14019"/>
    <w:rsid w:val="00D14724"/>
    <w:rsid w:val="00D32E31"/>
    <w:rsid w:val="00D812F3"/>
    <w:rsid w:val="00DA243A"/>
    <w:rsid w:val="00DC2A44"/>
    <w:rsid w:val="00DC3DD6"/>
    <w:rsid w:val="00DD14AA"/>
    <w:rsid w:val="00DE142D"/>
    <w:rsid w:val="00DE5A4D"/>
    <w:rsid w:val="00E273E4"/>
    <w:rsid w:val="00E41519"/>
    <w:rsid w:val="00E56F12"/>
    <w:rsid w:val="00F30AFE"/>
    <w:rsid w:val="00F52C0D"/>
    <w:rsid w:val="00F60B10"/>
    <w:rsid w:val="00F66B78"/>
    <w:rsid w:val="00F703E2"/>
    <w:rsid w:val="00F8085A"/>
    <w:rsid w:val="00F85BB2"/>
    <w:rsid w:val="00FD5943"/>
    <w:rsid w:val="00FE2A13"/>
    <w:rsid w:val="00FF39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B3E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187"/>
    <w:rPr>
      <w:rFonts w:ascii="Arial" w:hAnsi="Arial"/>
    </w:rPr>
  </w:style>
  <w:style w:type="paragraph" w:styleId="Heading1">
    <w:name w:val="heading 1"/>
    <w:basedOn w:val="Normal"/>
    <w:next w:val="Normal"/>
    <w:link w:val="Heading1Char"/>
    <w:uiPriority w:val="9"/>
    <w:rsid w:val="004B54CA"/>
    <w:pPr>
      <w:spacing w:before="480" w:after="0"/>
      <w:contextualSpacing/>
      <w:outlineLvl w:val="0"/>
    </w:pPr>
    <w:rPr>
      <w:rFonts w:eastAsiaTheme="majorEastAsia" w:cstheme="majorBidi"/>
      <w:b/>
      <w:bCs/>
      <w:sz w:val="32"/>
      <w:szCs w:val="28"/>
    </w:rPr>
  </w:style>
  <w:style w:type="paragraph" w:styleId="Heading2">
    <w:name w:val="heading 2"/>
    <w:aliases w:val="DEX Heading 2"/>
    <w:basedOn w:val="Normal"/>
    <w:next w:val="Normal"/>
    <w:link w:val="Heading2Char"/>
    <w:uiPriority w:val="9"/>
    <w:unhideWhenUsed/>
    <w:qFormat/>
    <w:rsid w:val="00311FC1"/>
    <w:pPr>
      <w:spacing w:before="200" w:after="0"/>
      <w:outlineLvl w:val="1"/>
    </w:pPr>
    <w:rPr>
      <w:rFonts w:eastAsiaTheme="majorEastAsia" w:cstheme="majorBidi"/>
      <w:b/>
      <w:bCs/>
      <w:color w:val="215868" w:themeColor="accent5" w:themeShade="80"/>
      <w:sz w:val="28"/>
      <w:szCs w:val="26"/>
    </w:rPr>
  </w:style>
  <w:style w:type="paragraph" w:styleId="Heading3">
    <w:name w:val="heading 3"/>
    <w:aliases w:val="DEX Heading 3"/>
    <w:basedOn w:val="Normal"/>
    <w:next w:val="Normal"/>
    <w:link w:val="Heading3Char"/>
    <w:uiPriority w:val="9"/>
    <w:unhideWhenUsed/>
    <w:qFormat/>
    <w:rsid w:val="00311FC1"/>
    <w:pPr>
      <w:spacing w:before="200" w:after="0" w:line="271" w:lineRule="auto"/>
      <w:outlineLvl w:val="2"/>
    </w:pPr>
    <w:rPr>
      <w:rFonts w:eastAsiaTheme="majorEastAsia" w:cstheme="majorBidi"/>
      <w:b/>
      <w:bCs/>
      <w:sz w:val="24"/>
    </w:rPr>
  </w:style>
  <w:style w:type="paragraph" w:styleId="Heading4">
    <w:name w:val="heading 4"/>
    <w:aliases w:val="DEX Caption"/>
    <w:basedOn w:val="Normal"/>
    <w:next w:val="Normal"/>
    <w:link w:val="Heading4Char"/>
    <w:uiPriority w:val="9"/>
    <w:unhideWhenUsed/>
    <w:qFormat/>
    <w:rsid w:val="00BC3187"/>
    <w:pPr>
      <w:spacing w:before="200" w:after="0"/>
      <w:outlineLvl w:val="3"/>
    </w:pPr>
    <w:rPr>
      <w:rFonts w:eastAsiaTheme="majorEastAsia" w:cstheme="majorBidi"/>
      <w:b/>
      <w:bCs/>
      <w:iCs/>
      <w:sz w:val="18"/>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aliases w:val="DEX Heading 2 Char"/>
    <w:basedOn w:val="DefaultParagraphFont"/>
    <w:link w:val="Heading2"/>
    <w:uiPriority w:val="9"/>
    <w:rsid w:val="00311FC1"/>
    <w:rPr>
      <w:rFonts w:ascii="Arial" w:eastAsiaTheme="majorEastAsia" w:hAnsi="Arial" w:cstheme="majorBidi"/>
      <w:b/>
      <w:bCs/>
      <w:color w:val="215868" w:themeColor="accent5" w:themeShade="80"/>
      <w:sz w:val="28"/>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aliases w:val="DEX Heading 3 Char"/>
    <w:basedOn w:val="DefaultParagraphFont"/>
    <w:link w:val="Heading3"/>
    <w:uiPriority w:val="9"/>
    <w:rsid w:val="00311FC1"/>
    <w:rPr>
      <w:rFonts w:ascii="Arial" w:eastAsiaTheme="majorEastAsia" w:hAnsi="Arial" w:cstheme="majorBidi"/>
      <w:b/>
      <w:bCs/>
      <w:sz w:val="24"/>
    </w:rPr>
  </w:style>
  <w:style w:type="character" w:customStyle="1" w:styleId="Heading4Char">
    <w:name w:val="Heading 4 Char"/>
    <w:aliases w:val="DEX Caption Char"/>
    <w:basedOn w:val="DefaultParagraphFont"/>
    <w:link w:val="Heading4"/>
    <w:uiPriority w:val="9"/>
    <w:rsid w:val="00BC3187"/>
    <w:rPr>
      <w:rFonts w:ascii="Arial" w:eastAsiaTheme="majorEastAsia" w:hAnsi="Arial" w:cstheme="majorBidi"/>
      <w:b/>
      <w:bCs/>
      <w:iCs/>
      <w:sz w:val="18"/>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paragraph" w:customStyle="1" w:styleId="DEXHeading1">
    <w:name w:val="DEX Heading1"/>
    <w:basedOn w:val="Normal"/>
    <w:next w:val="Normal"/>
    <w:link w:val="DEXHeading1Char"/>
    <w:qFormat/>
    <w:rsid w:val="00C0733C"/>
    <w:pPr>
      <w:keepNext/>
      <w:keepLines/>
      <w:spacing w:before="400" w:after="40" w:line="240" w:lineRule="auto"/>
    </w:pPr>
    <w:rPr>
      <w:rFonts w:ascii="Georgia" w:hAnsi="Georgia"/>
      <w:b/>
      <w:bCs/>
      <w:color w:val="215868" w:themeColor="accent5" w:themeShade="80"/>
      <w:sz w:val="52"/>
      <w:szCs w:val="36"/>
    </w:rPr>
  </w:style>
  <w:style w:type="character" w:customStyle="1" w:styleId="DEXHeading1Char">
    <w:name w:val="DEX Heading1 Char"/>
    <w:basedOn w:val="DefaultParagraphFont"/>
    <w:link w:val="DEXHeading1"/>
    <w:rsid w:val="0060303D"/>
    <w:rPr>
      <w:rFonts w:ascii="Georgia" w:hAnsi="Georgia"/>
      <w:b/>
      <w:bCs/>
      <w:color w:val="215868" w:themeColor="accent5" w:themeShade="80"/>
      <w:sz w:val="52"/>
      <w:szCs w:val="36"/>
    </w:rPr>
  </w:style>
  <w:style w:type="paragraph" w:styleId="BalloonText">
    <w:name w:val="Balloon Text"/>
    <w:basedOn w:val="Normal"/>
    <w:link w:val="BalloonTextChar"/>
    <w:uiPriority w:val="99"/>
    <w:semiHidden/>
    <w:unhideWhenUsed/>
    <w:rsid w:val="002718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848"/>
    <w:rPr>
      <w:rFonts w:ascii="Segoe UI" w:hAnsi="Segoe UI" w:cs="Segoe UI"/>
      <w:sz w:val="18"/>
      <w:szCs w:val="18"/>
    </w:rPr>
  </w:style>
  <w:style w:type="character" w:styleId="LineNumber">
    <w:name w:val="line number"/>
    <w:basedOn w:val="DefaultParagraphFont"/>
    <w:uiPriority w:val="99"/>
    <w:semiHidden/>
    <w:unhideWhenUsed/>
    <w:rsid w:val="00DC3DD6"/>
  </w:style>
  <w:style w:type="character" w:styleId="Hyperlink">
    <w:name w:val="Hyperlink"/>
    <w:basedOn w:val="DefaultParagraphFont"/>
    <w:uiPriority w:val="99"/>
    <w:unhideWhenUsed/>
    <w:rsid w:val="00A502F0"/>
    <w:rPr>
      <w:color w:val="0000FF" w:themeColor="hyperlink"/>
      <w:u w:val="single"/>
    </w:rPr>
  </w:style>
  <w:style w:type="character" w:styleId="CommentReference">
    <w:name w:val="annotation reference"/>
    <w:basedOn w:val="DefaultParagraphFont"/>
    <w:uiPriority w:val="99"/>
    <w:semiHidden/>
    <w:unhideWhenUsed/>
    <w:rsid w:val="00A652F5"/>
    <w:rPr>
      <w:sz w:val="16"/>
      <w:szCs w:val="16"/>
    </w:rPr>
  </w:style>
  <w:style w:type="paragraph" w:styleId="CommentText">
    <w:name w:val="annotation text"/>
    <w:basedOn w:val="Normal"/>
    <w:link w:val="CommentTextChar"/>
    <w:uiPriority w:val="99"/>
    <w:semiHidden/>
    <w:unhideWhenUsed/>
    <w:rsid w:val="00A652F5"/>
    <w:pPr>
      <w:spacing w:line="240" w:lineRule="auto"/>
    </w:pPr>
    <w:rPr>
      <w:sz w:val="20"/>
      <w:szCs w:val="20"/>
    </w:rPr>
  </w:style>
  <w:style w:type="character" w:customStyle="1" w:styleId="CommentTextChar">
    <w:name w:val="Comment Text Char"/>
    <w:basedOn w:val="DefaultParagraphFont"/>
    <w:link w:val="CommentText"/>
    <w:uiPriority w:val="99"/>
    <w:semiHidden/>
    <w:rsid w:val="00A652F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652F5"/>
    <w:rPr>
      <w:b/>
      <w:bCs/>
    </w:rPr>
  </w:style>
  <w:style w:type="character" w:customStyle="1" w:styleId="CommentSubjectChar">
    <w:name w:val="Comment Subject Char"/>
    <w:basedOn w:val="CommentTextChar"/>
    <w:link w:val="CommentSubject"/>
    <w:uiPriority w:val="99"/>
    <w:semiHidden/>
    <w:rsid w:val="00A652F5"/>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227643">
      <w:bodyDiv w:val="1"/>
      <w:marLeft w:val="0"/>
      <w:marRight w:val="0"/>
      <w:marTop w:val="0"/>
      <w:marBottom w:val="0"/>
      <w:divBdr>
        <w:top w:val="none" w:sz="0" w:space="0" w:color="auto"/>
        <w:left w:val="none" w:sz="0" w:space="0" w:color="auto"/>
        <w:bottom w:val="none" w:sz="0" w:space="0" w:color="auto"/>
        <w:right w:val="none" w:sz="0" w:space="0" w:color="auto"/>
      </w:divBdr>
    </w:div>
    <w:div w:id="1110273282">
      <w:bodyDiv w:val="1"/>
      <w:marLeft w:val="0"/>
      <w:marRight w:val="0"/>
      <w:marTop w:val="0"/>
      <w:marBottom w:val="0"/>
      <w:divBdr>
        <w:top w:val="none" w:sz="0" w:space="0" w:color="auto"/>
        <w:left w:val="none" w:sz="0" w:space="0" w:color="auto"/>
        <w:bottom w:val="none" w:sz="0" w:space="0" w:color="auto"/>
        <w:right w:val="none" w:sz="0" w:space="0" w:color="auto"/>
      </w:divBdr>
    </w:div>
    <w:div w:id="1142651354">
      <w:bodyDiv w:val="1"/>
      <w:marLeft w:val="0"/>
      <w:marRight w:val="0"/>
      <w:marTop w:val="0"/>
      <w:marBottom w:val="0"/>
      <w:divBdr>
        <w:top w:val="none" w:sz="0" w:space="0" w:color="auto"/>
        <w:left w:val="none" w:sz="0" w:space="0" w:color="auto"/>
        <w:bottom w:val="none" w:sz="0" w:space="0" w:color="auto"/>
        <w:right w:val="none" w:sz="0" w:space="0" w:color="auto"/>
      </w:divBdr>
    </w:div>
    <w:div w:id="1850950807">
      <w:bodyDiv w:val="1"/>
      <w:marLeft w:val="0"/>
      <w:marRight w:val="0"/>
      <w:marTop w:val="0"/>
      <w:marBottom w:val="0"/>
      <w:divBdr>
        <w:top w:val="none" w:sz="0" w:space="0" w:color="auto"/>
        <w:left w:val="none" w:sz="0" w:space="0" w:color="auto"/>
        <w:bottom w:val="none" w:sz="0" w:space="0" w:color="auto"/>
        <w:right w:val="none" w:sz="0" w:space="0" w:color="auto"/>
      </w:divBdr>
    </w:div>
    <w:div w:id="1870340940">
      <w:bodyDiv w:val="1"/>
      <w:marLeft w:val="0"/>
      <w:marRight w:val="0"/>
      <w:marTop w:val="0"/>
      <w:marBottom w:val="0"/>
      <w:divBdr>
        <w:top w:val="none" w:sz="0" w:space="0" w:color="auto"/>
        <w:left w:val="none" w:sz="0" w:space="0" w:color="auto"/>
        <w:bottom w:val="none" w:sz="0" w:space="0" w:color="auto"/>
        <w:right w:val="none" w:sz="0" w:space="0" w:color="auto"/>
      </w:divBdr>
    </w:div>
    <w:div w:id="1900482049">
      <w:bodyDiv w:val="1"/>
      <w:marLeft w:val="0"/>
      <w:marRight w:val="0"/>
      <w:marTop w:val="0"/>
      <w:marBottom w:val="0"/>
      <w:divBdr>
        <w:top w:val="none" w:sz="0" w:space="0" w:color="auto"/>
        <w:left w:val="none" w:sz="0" w:space="0" w:color="auto"/>
        <w:bottom w:val="none" w:sz="0" w:space="0" w:color="auto"/>
        <w:right w:val="none" w:sz="0" w:space="0" w:color="auto"/>
      </w:divBdr>
    </w:div>
    <w:div w:id="1991982320">
      <w:bodyDiv w:val="1"/>
      <w:marLeft w:val="0"/>
      <w:marRight w:val="0"/>
      <w:marTop w:val="0"/>
      <w:marBottom w:val="0"/>
      <w:divBdr>
        <w:top w:val="none" w:sz="0" w:space="0" w:color="auto"/>
        <w:left w:val="none" w:sz="0" w:space="0" w:color="auto"/>
        <w:bottom w:val="none" w:sz="0" w:space="0" w:color="auto"/>
        <w:right w:val="none" w:sz="0" w:space="0" w:color="auto"/>
      </w:divBdr>
    </w:div>
    <w:div w:id="2036151011">
      <w:bodyDiv w:val="1"/>
      <w:marLeft w:val="0"/>
      <w:marRight w:val="0"/>
      <w:marTop w:val="0"/>
      <w:marBottom w:val="0"/>
      <w:divBdr>
        <w:top w:val="none" w:sz="0" w:space="0" w:color="auto"/>
        <w:left w:val="none" w:sz="0" w:space="0" w:color="auto"/>
        <w:bottom w:val="none" w:sz="0" w:space="0" w:color="auto"/>
        <w:right w:val="none" w:sz="0" w:space="0" w:color="auto"/>
      </w:divBdr>
    </w:div>
    <w:div w:id="209551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x.dss.gov.au/" TargetMode="External"/><Relationship Id="rId13" Type="http://schemas.openxmlformats.org/officeDocument/2006/relationships/hyperlink" Target="https://dex.dss.gov.au/document/81" TargetMode="External"/><Relationship Id="rId18" Type="http://schemas.openxmlformats.org/officeDocument/2006/relationships/hyperlink" Target="https://dex.dss.gov.au/document/4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ex.dss.gov.au/document/81" TargetMode="External"/><Relationship Id="rId17" Type="http://schemas.openxmlformats.org/officeDocument/2006/relationships/hyperlink" Target="https://dex.dss.gov.au/training/task-card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ex.dss.gov.au/document/466"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x.dss.gov.au/document/34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ex.dss.gov.au/document/796" TargetMode="External"/><Relationship Id="rId23" Type="http://schemas.openxmlformats.org/officeDocument/2006/relationships/footer" Target="footer2.xml"/><Relationship Id="rId10" Type="http://schemas.openxmlformats.org/officeDocument/2006/relationships/hyperlink" Target="https://dex.dss.gov.au/document/331" TargetMode="External"/><Relationship Id="rId19" Type="http://schemas.openxmlformats.org/officeDocument/2006/relationships/hyperlink" Target="https://dex.dss.gov.au/document/306" TargetMode="External"/><Relationship Id="rId4" Type="http://schemas.openxmlformats.org/officeDocument/2006/relationships/settings" Target="settings.xml"/><Relationship Id="rId9" Type="http://schemas.openxmlformats.org/officeDocument/2006/relationships/hyperlink" Target="https://dex.dss.gov.au/document/331" TargetMode="External"/><Relationship Id="rId14" Type="http://schemas.openxmlformats.org/officeDocument/2006/relationships/hyperlink" Target="https://dex.dss.gov.au/document/81"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0095\Desktop\DEX\SETS%20Webinar\%5bD20%201483025%5d%20Settlement%20Engagement%20and%20Transition%20Support%20-%20Data%20Exchange%20Questions%20and%20Answer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63667-AFDC-46C5-BBA3-22322F5B6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[D20 1483025] Settlement Engagement and Transition Support - Data Exchange Questions and Answers</Template>
  <TotalTime>0</TotalTime>
  <Pages>4</Pages>
  <Words>1385</Words>
  <Characters>7900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2021-01-19T04:56:00Z</dcterms:created>
  <dcterms:modified xsi:type="dcterms:W3CDTF">2021-01-19T04:58:00Z</dcterms:modified>
</cp:coreProperties>
</file>